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sz w:val="32"/>
          <w:szCs w:val="32"/>
        </w:rPr>
      </w:pPr>
      <w:bookmarkStart w:id="1" w:name="_GoBack"/>
      <w:bookmarkEnd w:id="1"/>
      <w:r>
        <w:rPr>
          <w:rFonts w:hint="eastAsia" w:ascii="黑体" w:hAnsi="黑体" w:eastAsia="黑体"/>
          <w:sz w:val="32"/>
          <w:szCs w:val="32"/>
        </w:rPr>
        <w:t>附件1</w:t>
      </w:r>
    </w:p>
    <w:p>
      <w:pPr>
        <w:adjustRightInd w:val="0"/>
        <w:snapToGrid w:val="0"/>
        <w:spacing w:line="640" w:lineRule="exact"/>
        <w:jc w:val="center"/>
        <w:rPr>
          <w:rFonts w:ascii="方正小标宋简体" w:eastAsia="方正小标宋简体"/>
          <w:spacing w:val="-4"/>
          <w:sz w:val="44"/>
          <w:szCs w:val="44"/>
        </w:rPr>
      </w:pPr>
      <w:r>
        <w:rPr>
          <w:rFonts w:hint="eastAsia" w:ascii="方正小标宋简体" w:eastAsia="方正小标宋简体"/>
          <w:spacing w:val="-4"/>
          <w:sz w:val="44"/>
          <w:szCs w:val="44"/>
        </w:rPr>
        <w:t>山东省2019年普通高等教育专升本专业</w:t>
      </w:r>
    </w:p>
    <w:p>
      <w:pPr>
        <w:adjustRightInd w:val="0"/>
        <w:snapToGrid w:val="0"/>
        <w:spacing w:afterLines="20" w:line="640" w:lineRule="exact"/>
        <w:jc w:val="center"/>
      </w:pPr>
      <w:r>
        <w:rPr>
          <w:rFonts w:hint="eastAsia" w:ascii="方正小标宋简体" w:eastAsia="方正小标宋简体"/>
          <w:spacing w:val="-4"/>
          <w:sz w:val="44"/>
          <w:szCs w:val="44"/>
        </w:rPr>
        <w:t>类别设置及考试科目</w:t>
      </w:r>
    </w:p>
    <w:tbl>
      <w:tblPr>
        <w:tblStyle w:val="14"/>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44"/>
        <w:gridCol w:w="1000"/>
        <w:gridCol w:w="2283"/>
        <w:gridCol w:w="2140"/>
        <w:gridCol w:w="3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01" w:hRule="atLeast"/>
          <w:tblHeader/>
        </w:trPr>
        <w:tc>
          <w:tcPr>
            <w:tcW w:w="444" w:type="dxa"/>
            <w:vMerge w:val="restart"/>
            <w:vAlign w:val="center"/>
          </w:tcPr>
          <w:p>
            <w:pPr>
              <w:spacing w:line="380" w:lineRule="exact"/>
              <w:jc w:val="center"/>
              <w:textAlignment w:val="center"/>
              <w:rPr>
                <w:rFonts w:ascii="黑体" w:hAnsi="黑体" w:eastAsia="黑体" w:cs="仿宋"/>
                <w:color w:val="000000"/>
                <w:sz w:val="24"/>
              </w:rPr>
            </w:pPr>
            <w:r>
              <w:rPr>
                <w:rFonts w:hint="eastAsia" w:ascii="黑体" w:hAnsi="黑体" w:eastAsia="黑体" w:cs="仿宋"/>
                <w:color w:val="000000"/>
                <w:kern w:val="0"/>
                <w:sz w:val="24"/>
              </w:rPr>
              <w:t>序号</w:t>
            </w:r>
          </w:p>
        </w:tc>
        <w:tc>
          <w:tcPr>
            <w:tcW w:w="1000" w:type="dxa"/>
            <w:vMerge w:val="restart"/>
            <w:vAlign w:val="center"/>
          </w:tcPr>
          <w:p>
            <w:pPr>
              <w:spacing w:line="380" w:lineRule="exact"/>
              <w:jc w:val="center"/>
              <w:textAlignment w:val="center"/>
              <w:rPr>
                <w:rFonts w:ascii="黑体" w:hAnsi="黑体" w:eastAsia="黑体" w:cs="仿宋"/>
                <w:color w:val="000000"/>
                <w:sz w:val="24"/>
              </w:rPr>
            </w:pPr>
            <w:r>
              <w:rPr>
                <w:rFonts w:hint="eastAsia" w:ascii="黑体" w:hAnsi="黑体" w:eastAsia="黑体" w:cs="仿宋"/>
                <w:color w:val="000000"/>
                <w:kern w:val="0"/>
                <w:sz w:val="24"/>
              </w:rPr>
              <w:t>类别</w:t>
            </w:r>
          </w:p>
        </w:tc>
        <w:tc>
          <w:tcPr>
            <w:tcW w:w="2283" w:type="dxa"/>
            <w:vMerge w:val="restart"/>
            <w:vAlign w:val="center"/>
          </w:tcPr>
          <w:p>
            <w:pPr>
              <w:spacing w:line="380" w:lineRule="exact"/>
              <w:jc w:val="center"/>
              <w:textAlignment w:val="center"/>
              <w:rPr>
                <w:rFonts w:ascii="黑体" w:hAnsi="黑体" w:eastAsia="黑体" w:cs="仿宋"/>
                <w:color w:val="000000"/>
                <w:sz w:val="24"/>
              </w:rPr>
            </w:pPr>
            <w:r>
              <w:rPr>
                <w:rFonts w:hint="eastAsia" w:ascii="黑体" w:hAnsi="黑体" w:eastAsia="黑体" w:cs="仿宋"/>
                <w:color w:val="000000"/>
                <w:kern w:val="0"/>
                <w:sz w:val="24"/>
              </w:rPr>
              <w:t>包含专业</w:t>
            </w:r>
          </w:p>
        </w:tc>
        <w:tc>
          <w:tcPr>
            <w:tcW w:w="5333" w:type="dxa"/>
            <w:gridSpan w:val="2"/>
            <w:vAlign w:val="center"/>
          </w:tcPr>
          <w:p>
            <w:pPr>
              <w:spacing w:line="380" w:lineRule="exact"/>
              <w:jc w:val="center"/>
              <w:textAlignment w:val="center"/>
              <w:rPr>
                <w:rFonts w:ascii="黑体" w:hAnsi="黑体" w:eastAsia="黑体" w:cs="仿宋"/>
                <w:color w:val="000000"/>
                <w:sz w:val="24"/>
              </w:rPr>
            </w:pPr>
            <w:r>
              <w:rPr>
                <w:rFonts w:hint="eastAsia" w:ascii="黑体" w:hAnsi="黑体" w:eastAsia="黑体" w:cs="仿宋"/>
                <w:color w:val="000000"/>
                <w:kern w:val="0"/>
                <w:sz w:val="24"/>
              </w:rPr>
              <w:t>考试科目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blHeader/>
        </w:trPr>
        <w:tc>
          <w:tcPr>
            <w:tcW w:w="444" w:type="dxa"/>
            <w:vMerge w:val="continue"/>
            <w:vAlign w:val="center"/>
          </w:tcPr>
          <w:p>
            <w:pPr>
              <w:spacing w:line="380" w:lineRule="exact"/>
              <w:jc w:val="center"/>
              <w:textAlignment w:val="center"/>
              <w:rPr>
                <w:rFonts w:ascii="黑体" w:hAnsi="黑体" w:eastAsia="黑体" w:cs="仿宋"/>
                <w:color w:val="000000"/>
                <w:kern w:val="0"/>
                <w:sz w:val="24"/>
              </w:rPr>
            </w:pPr>
          </w:p>
        </w:tc>
        <w:tc>
          <w:tcPr>
            <w:tcW w:w="1000" w:type="dxa"/>
            <w:vMerge w:val="continue"/>
            <w:vAlign w:val="center"/>
          </w:tcPr>
          <w:p>
            <w:pPr>
              <w:spacing w:line="380" w:lineRule="exact"/>
              <w:jc w:val="center"/>
              <w:textAlignment w:val="center"/>
              <w:rPr>
                <w:rFonts w:ascii="黑体" w:hAnsi="黑体" w:eastAsia="黑体" w:cs="仿宋"/>
                <w:color w:val="000000"/>
                <w:kern w:val="0"/>
                <w:sz w:val="24"/>
              </w:rPr>
            </w:pPr>
          </w:p>
        </w:tc>
        <w:tc>
          <w:tcPr>
            <w:tcW w:w="2283" w:type="dxa"/>
            <w:vMerge w:val="continue"/>
            <w:vAlign w:val="center"/>
          </w:tcPr>
          <w:p>
            <w:pPr>
              <w:spacing w:line="380" w:lineRule="exact"/>
              <w:jc w:val="center"/>
              <w:textAlignment w:val="center"/>
              <w:rPr>
                <w:rFonts w:ascii="黑体" w:hAnsi="黑体" w:eastAsia="黑体" w:cs="仿宋"/>
                <w:color w:val="000000"/>
                <w:kern w:val="0"/>
                <w:sz w:val="24"/>
              </w:rPr>
            </w:pPr>
          </w:p>
        </w:tc>
        <w:tc>
          <w:tcPr>
            <w:tcW w:w="2140" w:type="dxa"/>
            <w:vAlign w:val="center"/>
          </w:tcPr>
          <w:p>
            <w:pPr>
              <w:spacing w:line="380" w:lineRule="exact"/>
              <w:jc w:val="center"/>
              <w:textAlignment w:val="center"/>
              <w:rPr>
                <w:rFonts w:ascii="黑体" w:hAnsi="黑体" w:eastAsia="黑体" w:cs="仿宋"/>
                <w:color w:val="000000"/>
                <w:kern w:val="0"/>
                <w:sz w:val="24"/>
              </w:rPr>
            </w:pPr>
            <w:r>
              <w:rPr>
                <w:rFonts w:hint="eastAsia" w:ascii="黑体" w:hAnsi="黑体" w:eastAsia="黑体" w:cs="仿宋"/>
                <w:color w:val="000000"/>
                <w:kern w:val="0"/>
                <w:sz w:val="24"/>
              </w:rPr>
              <w:t>公共课（2门）</w:t>
            </w:r>
          </w:p>
        </w:tc>
        <w:tc>
          <w:tcPr>
            <w:tcW w:w="3193" w:type="dxa"/>
            <w:vAlign w:val="center"/>
          </w:tcPr>
          <w:p>
            <w:pPr>
              <w:spacing w:line="380" w:lineRule="exact"/>
              <w:jc w:val="center"/>
              <w:textAlignment w:val="center"/>
              <w:rPr>
                <w:rFonts w:ascii="黑体" w:hAnsi="黑体" w:eastAsia="黑体" w:cs="仿宋"/>
                <w:color w:val="000000"/>
                <w:kern w:val="0"/>
                <w:sz w:val="24"/>
              </w:rPr>
            </w:pPr>
            <w:r>
              <w:rPr>
                <w:rFonts w:hint="eastAsia" w:ascii="黑体" w:hAnsi="黑体" w:eastAsia="黑体" w:cs="仿宋"/>
                <w:color w:val="000000"/>
                <w:kern w:val="0"/>
                <w:sz w:val="24"/>
              </w:rPr>
              <w:t>专业综合课（1门）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1</w:t>
            </w:r>
          </w:p>
        </w:tc>
        <w:tc>
          <w:tcPr>
            <w:tcW w:w="1000" w:type="dxa"/>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文史类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汉语言文学</w:t>
            </w:r>
          </w:p>
        </w:tc>
        <w:tc>
          <w:tcPr>
            <w:tcW w:w="2140" w:type="dxa"/>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内容涵盖文学概论、写作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2</w:t>
            </w:r>
          </w:p>
        </w:tc>
        <w:tc>
          <w:tcPr>
            <w:tcW w:w="1000" w:type="dxa"/>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法学类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法学</w:t>
            </w:r>
          </w:p>
        </w:tc>
        <w:tc>
          <w:tcPr>
            <w:tcW w:w="2140" w:type="dxa"/>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内容涵盖法理学、民法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3</w:t>
            </w:r>
          </w:p>
        </w:tc>
        <w:tc>
          <w:tcPr>
            <w:tcW w:w="1000"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管理类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工商管理</w:t>
            </w:r>
          </w:p>
        </w:tc>
        <w:tc>
          <w:tcPr>
            <w:tcW w:w="2140" w:type="dxa"/>
            <w:vMerge w:val="restart"/>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Merge w:val="restart"/>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内容涵盖管理学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市场营销</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公共事业管理</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旅游管理</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FF0000"/>
                <w:sz w:val="24"/>
              </w:rPr>
            </w:pPr>
            <w:r>
              <w:rPr>
                <w:rFonts w:hint="eastAsia" w:ascii="仿宋_GB2312" w:hAnsi="仿宋" w:eastAsia="仿宋_GB2312" w:cs="仿宋"/>
                <w:color w:val="000000"/>
                <w:kern w:val="0"/>
                <w:sz w:val="24"/>
              </w:rPr>
              <w:t>工程管理</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会计学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电子商务</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工程造价</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物流工程</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4</w:t>
            </w:r>
          </w:p>
        </w:tc>
        <w:tc>
          <w:tcPr>
            <w:tcW w:w="1000"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财经类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国际经济与贸易</w:t>
            </w:r>
          </w:p>
        </w:tc>
        <w:tc>
          <w:tcPr>
            <w:tcW w:w="2140" w:type="dxa"/>
            <w:vMerge w:val="restart"/>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Merge w:val="restart"/>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内容涵盖高等数学、基础会计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金融学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5</w:t>
            </w:r>
          </w:p>
        </w:tc>
        <w:tc>
          <w:tcPr>
            <w:tcW w:w="1000"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外语类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英语</w:t>
            </w:r>
          </w:p>
        </w:tc>
        <w:tc>
          <w:tcPr>
            <w:tcW w:w="2140" w:type="dxa"/>
            <w:vMerge w:val="restart"/>
            <w:vAlign w:val="center"/>
          </w:tcPr>
          <w:p>
            <w:pPr>
              <w:spacing w:line="380" w:lineRule="exact"/>
              <w:jc w:val="left"/>
              <w:rPr>
                <w:rFonts w:ascii="仿宋_GB2312" w:hAnsi="仿宋" w:eastAsia="仿宋_GB2312" w:cs="宋体"/>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宋体"/>
                <w:color w:val="000000"/>
                <w:kern w:val="0"/>
                <w:sz w:val="24"/>
              </w:rPr>
              <w:t>大学语文</w:t>
            </w:r>
          </w:p>
          <w:p>
            <w:pPr>
              <w:spacing w:line="380" w:lineRule="exact"/>
              <w:jc w:val="left"/>
              <w:rPr>
                <w:rFonts w:ascii="仿宋_GB2312" w:hAnsi="仿宋" w:eastAsia="仿宋_GB2312" w:cs="宋体"/>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宋体"/>
                <w:color w:val="000000"/>
                <w:kern w:val="0"/>
                <w:sz w:val="24"/>
              </w:rPr>
              <w:t>计算机</w:t>
            </w:r>
          </w:p>
        </w:tc>
        <w:tc>
          <w:tcPr>
            <w:tcW w:w="3193" w:type="dxa"/>
            <w:vAlign w:val="center"/>
          </w:tcPr>
          <w:p>
            <w:pPr>
              <w:spacing w:line="380" w:lineRule="exact"/>
              <w:jc w:val="left"/>
              <w:rPr>
                <w:rFonts w:ascii="仿宋_GB2312" w:hAnsi="仿宋" w:eastAsia="仿宋_GB2312" w:cs="宋体"/>
                <w:color w:val="000000"/>
                <w:kern w:val="0"/>
                <w:sz w:val="24"/>
              </w:rPr>
            </w:pPr>
            <w:r>
              <w:rPr>
                <w:rFonts w:hint="eastAsia" w:ascii="仿宋_GB2312" w:hAnsi="仿宋" w:eastAsia="仿宋_GB2312" w:cs="仿宋"/>
                <w:color w:val="000000"/>
                <w:kern w:val="0"/>
                <w:sz w:val="24"/>
              </w:rPr>
              <w:t>内容涵盖</w:t>
            </w:r>
            <w:r>
              <w:rPr>
                <w:rFonts w:hint="eastAsia" w:ascii="仿宋_GB2312" w:hAnsi="仿宋" w:eastAsia="仿宋_GB2312" w:cs="宋体"/>
                <w:color w:val="000000"/>
                <w:kern w:val="0"/>
                <w:sz w:val="24"/>
              </w:rPr>
              <w:t>精读、翻译技巧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朝鲜语</w:t>
            </w:r>
          </w:p>
        </w:tc>
        <w:tc>
          <w:tcPr>
            <w:tcW w:w="2140" w:type="dxa"/>
            <w:vMerge w:val="continue"/>
            <w:vAlign w:val="center"/>
          </w:tcPr>
          <w:p>
            <w:pPr>
              <w:spacing w:line="380" w:lineRule="exact"/>
              <w:jc w:val="left"/>
              <w:rPr>
                <w:rFonts w:ascii="仿宋_GB2312" w:hAnsi="仿宋" w:eastAsia="仿宋_GB2312" w:cs="宋体"/>
                <w:color w:val="000000"/>
                <w:kern w:val="0"/>
                <w:sz w:val="24"/>
              </w:rPr>
            </w:pPr>
          </w:p>
        </w:tc>
        <w:tc>
          <w:tcPr>
            <w:tcW w:w="3193" w:type="dxa"/>
            <w:vAlign w:val="center"/>
          </w:tcPr>
          <w:p>
            <w:pPr>
              <w:spacing w:line="380" w:lineRule="exact"/>
              <w:jc w:val="left"/>
              <w:rPr>
                <w:rFonts w:ascii="仿宋_GB2312" w:hAnsi="仿宋" w:eastAsia="仿宋_GB2312" w:cs="宋体"/>
                <w:color w:val="000000"/>
                <w:kern w:val="0"/>
                <w:sz w:val="24"/>
              </w:rPr>
            </w:pPr>
            <w:r>
              <w:rPr>
                <w:rFonts w:hint="eastAsia" w:ascii="仿宋_GB2312" w:hAnsi="仿宋" w:eastAsia="仿宋_GB2312" w:cs="仿宋"/>
                <w:color w:val="000000"/>
                <w:kern w:val="0"/>
                <w:sz w:val="24"/>
              </w:rPr>
              <w:t>内容涵盖</w:t>
            </w:r>
            <w:r>
              <w:rPr>
                <w:rFonts w:hint="eastAsia" w:ascii="仿宋_GB2312" w:hAnsi="仿宋" w:eastAsia="仿宋_GB2312" w:cs="宋体"/>
                <w:color w:val="000000"/>
                <w:kern w:val="0"/>
                <w:sz w:val="24"/>
              </w:rPr>
              <w:t>精读、翻译技巧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日语</w:t>
            </w:r>
          </w:p>
        </w:tc>
        <w:tc>
          <w:tcPr>
            <w:tcW w:w="2140" w:type="dxa"/>
            <w:vMerge w:val="continue"/>
            <w:vAlign w:val="center"/>
          </w:tcPr>
          <w:p>
            <w:pPr>
              <w:spacing w:line="380" w:lineRule="exact"/>
              <w:jc w:val="left"/>
              <w:rPr>
                <w:rFonts w:ascii="仿宋_GB2312" w:hAnsi="仿宋" w:eastAsia="仿宋_GB2312" w:cs="宋体"/>
                <w:color w:val="000000"/>
                <w:kern w:val="0"/>
                <w:sz w:val="24"/>
              </w:rPr>
            </w:pPr>
          </w:p>
        </w:tc>
        <w:tc>
          <w:tcPr>
            <w:tcW w:w="3193" w:type="dxa"/>
            <w:vAlign w:val="center"/>
          </w:tcPr>
          <w:p>
            <w:pPr>
              <w:spacing w:line="380" w:lineRule="exact"/>
              <w:jc w:val="left"/>
              <w:rPr>
                <w:rFonts w:ascii="仿宋_GB2312" w:hAnsi="仿宋" w:eastAsia="仿宋_GB2312" w:cs="宋体"/>
                <w:color w:val="000000"/>
                <w:kern w:val="0"/>
                <w:sz w:val="24"/>
              </w:rPr>
            </w:pPr>
            <w:r>
              <w:rPr>
                <w:rFonts w:hint="eastAsia" w:ascii="仿宋_GB2312" w:hAnsi="仿宋" w:eastAsia="仿宋_GB2312" w:cs="仿宋"/>
                <w:color w:val="000000"/>
                <w:kern w:val="0"/>
                <w:sz w:val="24"/>
              </w:rPr>
              <w:t>内容涵盖</w:t>
            </w:r>
            <w:r>
              <w:rPr>
                <w:rFonts w:hint="eastAsia" w:ascii="仿宋_GB2312" w:hAnsi="仿宋" w:eastAsia="仿宋_GB2312" w:cs="宋体"/>
                <w:color w:val="000000"/>
                <w:kern w:val="0"/>
                <w:sz w:val="24"/>
              </w:rPr>
              <w:t>基础日语、翻译技巧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6</w:t>
            </w:r>
          </w:p>
        </w:tc>
        <w:tc>
          <w:tcPr>
            <w:tcW w:w="1000"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艺术类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视觉传达设计</w:t>
            </w:r>
          </w:p>
        </w:tc>
        <w:tc>
          <w:tcPr>
            <w:tcW w:w="2140" w:type="dxa"/>
            <w:vMerge w:val="restart"/>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Merge w:val="restart"/>
            <w:vAlign w:val="center"/>
          </w:tcPr>
          <w:p>
            <w:pPr>
              <w:spacing w:line="380" w:lineRule="exact"/>
              <w:jc w:val="left"/>
              <w:textAlignment w:val="center"/>
              <w:rPr>
                <w:rFonts w:ascii="仿宋_GB2312" w:hAnsi="仿宋" w:eastAsia="仿宋_GB2312" w:cs="宋体"/>
                <w:color w:val="000000"/>
                <w:kern w:val="0"/>
                <w:sz w:val="24"/>
              </w:rPr>
            </w:pPr>
            <w:r>
              <w:rPr>
                <w:rFonts w:hint="eastAsia" w:ascii="仿宋_GB2312" w:hAnsi="仿宋" w:eastAsia="仿宋_GB2312" w:cs="仿宋"/>
                <w:color w:val="000000"/>
                <w:kern w:val="0"/>
                <w:sz w:val="24"/>
              </w:rPr>
              <w:t>内容涵盖</w:t>
            </w:r>
            <w:r>
              <w:rPr>
                <w:rFonts w:hint="eastAsia" w:ascii="仿宋_GB2312" w:hAnsi="仿宋" w:eastAsia="仿宋_GB2312" w:cs="宋体"/>
                <w:color w:val="000000"/>
                <w:kern w:val="0"/>
                <w:sz w:val="24"/>
              </w:rPr>
              <w:t>命题设计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环境设计</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服装设计与工程</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7</w:t>
            </w:r>
          </w:p>
        </w:tc>
        <w:tc>
          <w:tcPr>
            <w:tcW w:w="1000"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教育类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英语（师范类）</w:t>
            </w:r>
          </w:p>
        </w:tc>
        <w:tc>
          <w:tcPr>
            <w:tcW w:w="2140" w:type="dxa"/>
            <w:vAlign w:val="center"/>
          </w:tcPr>
          <w:p>
            <w:pPr>
              <w:spacing w:line="380" w:lineRule="exact"/>
              <w:jc w:val="left"/>
              <w:rPr>
                <w:rFonts w:ascii="仿宋_GB2312" w:hAnsi="仿宋" w:eastAsia="仿宋_GB2312" w:cs="宋体"/>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宋体"/>
                <w:color w:val="000000"/>
                <w:kern w:val="0"/>
                <w:sz w:val="24"/>
              </w:rPr>
              <w:t>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宋体"/>
                <w:color w:val="000000"/>
                <w:kern w:val="0"/>
                <w:sz w:val="24"/>
              </w:rPr>
              <w:t>计算机</w:t>
            </w:r>
          </w:p>
        </w:tc>
        <w:tc>
          <w:tcPr>
            <w:tcW w:w="3193" w:type="dxa"/>
            <w:vMerge w:val="restart"/>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内容涵盖教育学、心理学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学前教育</w:t>
            </w:r>
          </w:p>
        </w:tc>
        <w:tc>
          <w:tcPr>
            <w:tcW w:w="2140" w:type="dxa"/>
            <w:vMerge w:val="restart"/>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rPr>
                <w:rFonts w:ascii="仿宋_GB2312" w:hAnsi="仿宋" w:eastAsia="仿宋_GB2312" w:cs="仿宋"/>
                <w:color w:val="00000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小学教育</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汉语言文学（师范类）</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美术学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音乐学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体育教育</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数学与应用数学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8</w:t>
            </w:r>
          </w:p>
        </w:tc>
        <w:tc>
          <w:tcPr>
            <w:tcW w:w="1000"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化工、生物类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化学工程与工艺</w:t>
            </w:r>
          </w:p>
        </w:tc>
        <w:tc>
          <w:tcPr>
            <w:tcW w:w="2140" w:type="dxa"/>
            <w:vMerge w:val="restart"/>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Merge w:val="restart"/>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内容涵盖有机化学、无机化学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生物科学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生物工程</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9</w:t>
            </w:r>
          </w:p>
        </w:tc>
        <w:tc>
          <w:tcPr>
            <w:tcW w:w="1000"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农林类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园艺</w:t>
            </w:r>
          </w:p>
        </w:tc>
        <w:tc>
          <w:tcPr>
            <w:tcW w:w="2140" w:type="dxa"/>
            <w:vMerge w:val="restart"/>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Align w:val="center"/>
          </w:tcPr>
          <w:p>
            <w:pPr>
              <w:spacing w:line="34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内容涵盖植物生理学、土壤与植物营养学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textAlignment w:val="center"/>
              <w:rPr>
                <w:rFonts w:ascii="仿宋_GB2312" w:hAnsi="仿宋" w:eastAsia="仿宋_GB2312" w:cs="仿宋"/>
                <w:color w:val="000000"/>
                <w:sz w:val="24"/>
              </w:rPr>
            </w:pPr>
          </w:p>
        </w:tc>
        <w:tc>
          <w:tcPr>
            <w:tcW w:w="1000" w:type="dxa"/>
            <w:vMerge w:val="continue"/>
            <w:vAlign w:val="center"/>
          </w:tcPr>
          <w:p>
            <w:pPr>
              <w:spacing w:line="380" w:lineRule="exact"/>
              <w:jc w:val="center"/>
              <w:textAlignment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sz w:val="24"/>
              </w:rPr>
            </w:pPr>
            <w:r>
              <w:rPr>
                <w:rFonts w:hint="eastAsia" w:ascii="仿宋_GB2312" w:hAnsi="仿宋" w:eastAsia="仿宋_GB2312" w:cs="仿宋"/>
                <w:kern w:val="0"/>
                <w:sz w:val="24"/>
              </w:rPr>
              <w:t>动物医学</w:t>
            </w:r>
          </w:p>
        </w:tc>
        <w:tc>
          <w:tcPr>
            <w:tcW w:w="2140" w:type="dxa"/>
            <w:vMerge w:val="continue"/>
            <w:vAlign w:val="center"/>
          </w:tcPr>
          <w:p>
            <w:pPr>
              <w:spacing w:line="380" w:lineRule="exact"/>
              <w:jc w:val="left"/>
              <w:rPr>
                <w:rFonts w:ascii="仿宋_GB2312" w:hAnsi="仿宋" w:eastAsia="仿宋_GB2312" w:cs="仿宋"/>
                <w:sz w:val="24"/>
              </w:rPr>
            </w:pPr>
          </w:p>
        </w:tc>
        <w:tc>
          <w:tcPr>
            <w:tcW w:w="3193" w:type="dxa"/>
            <w:vAlign w:val="center"/>
          </w:tcPr>
          <w:p>
            <w:pPr>
              <w:spacing w:line="380" w:lineRule="exact"/>
              <w:jc w:val="left"/>
              <w:rPr>
                <w:rFonts w:ascii="仿宋_GB2312" w:hAnsi="仿宋" w:eastAsia="仿宋_GB2312" w:cs="仿宋"/>
                <w:sz w:val="24"/>
              </w:rPr>
            </w:pPr>
            <w:r>
              <w:rPr>
                <w:rFonts w:hint="eastAsia" w:ascii="仿宋_GB2312" w:hAnsi="仿宋" w:eastAsia="仿宋_GB2312" w:cs="仿宋"/>
                <w:color w:val="000000"/>
                <w:kern w:val="0"/>
                <w:sz w:val="24"/>
              </w:rPr>
              <w:t>内容涵盖</w:t>
            </w:r>
            <w:r>
              <w:rPr>
                <w:rFonts w:hint="eastAsia" w:ascii="仿宋_GB2312" w:hAnsi="仿宋" w:eastAsia="仿宋_GB2312" w:cs="仿宋"/>
                <w:sz w:val="24"/>
              </w:rPr>
              <w:t>动物生理学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exact"/>
        </w:trPr>
        <w:tc>
          <w:tcPr>
            <w:tcW w:w="444"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10</w:t>
            </w:r>
          </w:p>
        </w:tc>
        <w:tc>
          <w:tcPr>
            <w:tcW w:w="1000"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医护类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口腔医学</w:t>
            </w:r>
          </w:p>
        </w:tc>
        <w:tc>
          <w:tcPr>
            <w:tcW w:w="2140" w:type="dxa"/>
            <w:vMerge w:val="restart"/>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Merge w:val="restart"/>
            <w:vAlign w:val="center"/>
          </w:tcPr>
          <w:p>
            <w:pPr>
              <w:spacing w:line="380" w:lineRule="exact"/>
              <w:jc w:val="left"/>
              <w:rPr>
                <w:rFonts w:ascii="仿宋_GB2312" w:hAnsi="仿宋" w:eastAsia="仿宋_GB2312" w:cs="仿宋"/>
                <w:color w:val="000000"/>
                <w:sz w:val="24"/>
              </w:rPr>
            </w:pPr>
            <w:r>
              <w:rPr>
                <w:rFonts w:hint="eastAsia" w:ascii="仿宋_GB2312" w:hAnsi="仿宋" w:eastAsia="仿宋_GB2312" w:cs="仿宋"/>
                <w:color w:val="000000"/>
                <w:kern w:val="0"/>
                <w:sz w:val="24"/>
              </w:rPr>
              <w:t>内容涵盖生理学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exac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临床医学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exac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医学检验技术</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exac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医学影像技术</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exac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康复治疗学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exac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护理学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exac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中医学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restart"/>
            <w:vAlign w:val="center"/>
          </w:tcPr>
          <w:p>
            <w:pPr>
              <w:spacing w:line="380" w:lineRule="exact"/>
              <w:jc w:val="left"/>
              <w:rPr>
                <w:rFonts w:ascii="仿宋_GB2312" w:hAnsi="仿宋" w:eastAsia="仿宋_GB2312" w:cs="仿宋"/>
                <w:color w:val="000000"/>
                <w:sz w:val="24"/>
              </w:rPr>
            </w:pPr>
            <w:r>
              <w:rPr>
                <w:rFonts w:hint="eastAsia" w:ascii="仿宋_GB2312" w:hAnsi="仿宋" w:eastAsia="仿宋_GB2312" w:cs="仿宋"/>
                <w:color w:val="000000"/>
                <w:kern w:val="0"/>
                <w:sz w:val="24"/>
              </w:rPr>
              <w:t>内容涵盖</w:t>
            </w:r>
            <w:r>
              <w:rPr>
                <w:rFonts w:hint="eastAsia" w:ascii="仿宋_GB2312" w:hAnsi="仿宋" w:eastAsia="仿宋_GB2312" w:cs="仿宋"/>
                <w:color w:val="000000"/>
                <w:sz w:val="24"/>
              </w:rPr>
              <w:t>中医基础理论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exac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针灸推拿学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exac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中药学</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7" w:hRule="exac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sz w:val="24"/>
              </w:rPr>
              <w:t>药学</w:t>
            </w:r>
          </w:p>
        </w:tc>
        <w:tc>
          <w:tcPr>
            <w:tcW w:w="2140" w:type="dxa"/>
            <w:vMerge w:val="continue"/>
            <w:vAlign w:val="center"/>
          </w:tcPr>
          <w:p>
            <w:pPr>
              <w:spacing w:line="380" w:lineRule="exact"/>
              <w:jc w:val="left"/>
              <w:rPr>
                <w:rFonts w:ascii="仿宋_GB2312" w:hAnsi="仿宋" w:eastAsia="仿宋_GB2312" w:cs="仿宋"/>
                <w:color w:val="000000"/>
                <w:kern w:val="0"/>
                <w:sz w:val="24"/>
              </w:rPr>
            </w:pPr>
          </w:p>
        </w:tc>
        <w:tc>
          <w:tcPr>
            <w:tcW w:w="3193" w:type="dxa"/>
            <w:vAlign w:val="center"/>
          </w:tcPr>
          <w:p>
            <w:pPr>
              <w:spacing w:line="380" w:lineRule="exact"/>
              <w:jc w:val="left"/>
              <w:rPr>
                <w:rFonts w:ascii="仿宋_GB2312" w:hAnsi="仿宋" w:eastAsia="仿宋_GB2312" w:cs="仿宋"/>
                <w:color w:val="000000"/>
                <w:sz w:val="24"/>
              </w:rPr>
            </w:pPr>
            <w:r>
              <w:rPr>
                <w:rFonts w:hint="eastAsia" w:ascii="仿宋_GB2312" w:hAnsi="仿宋" w:eastAsia="仿宋_GB2312" w:cs="仿宋"/>
                <w:color w:val="000000"/>
                <w:kern w:val="0"/>
                <w:sz w:val="24"/>
              </w:rPr>
              <w:t>内容涵盖有机化学、无机化学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11</w:t>
            </w:r>
          </w:p>
        </w:tc>
        <w:tc>
          <w:tcPr>
            <w:tcW w:w="1000" w:type="dxa"/>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计算机类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计算机科学与技术</w:t>
            </w:r>
          </w:p>
        </w:tc>
        <w:tc>
          <w:tcPr>
            <w:tcW w:w="2140" w:type="dxa"/>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高等数学</w:t>
            </w:r>
          </w:p>
        </w:tc>
        <w:tc>
          <w:tcPr>
            <w:tcW w:w="319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内容涵盖操作系统原理、C语言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12</w:t>
            </w:r>
          </w:p>
        </w:tc>
        <w:tc>
          <w:tcPr>
            <w:tcW w:w="1000"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电子信息类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电子信息科学与技术</w:t>
            </w:r>
          </w:p>
        </w:tc>
        <w:tc>
          <w:tcPr>
            <w:tcW w:w="2140" w:type="dxa"/>
            <w:vMerge w:val="restart"/>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Merge w:val="restart"/>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内容涵盖高等数学、电子电路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电子信息工程</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电气工程及其自动化</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13</w:t>
            </w:r>
          </w:p>
        </w:tc>
        <w:tc>
          <w:tcPr>
            <w:tcW w:w="1000" w:type="dxa"/>
            <w:vMerge w:val="restart"/>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机械工程类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机械设计制造及其自动化</w:t>
            </w:r>
          </w:p>
        </w:tc>
        <w:tc>
          <w:tcPr>
            <w:tcW w:w="2140" w:type="dxa"/>
            <w:vMerge w:val="restart"/>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Merge w:val="restart"/>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内容涵盖高等数学、工程力学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Merge w:val="continue"/>
            <w:vAlign w:val="center"/>
          </w:tcPr>
          <w:p>
            <w:pPr>
              <w:spacing w:line="380" w:lineRule="exact"/>
              <w:jc w:val="center"/>
              <w:rPr>
                <w:rFonts w:ascii="仿宋_GB2312" w:hAnsi="仿宋" w:eastAsia="仿宋_GB2312" w:cs="仿宋"/>
                <w:color w:val="000000"/>
                <w:sz w:val="24"/>
              </w:rPr>
            </w:pPr>
          </w:p>
        </w:tc>
        <w:tc>
          <w:tcPr>
            <w:tcW w:w="1000" w:type="dxa"/>
            <w:vMerge w:val="continue"/>
            <w:vAlign w:val="center"/>
          </w:tcPr>
          <w:p>
            <w:pPr>
              <w:spacing w:line="380" w:lineRule="exact"/>
              <w:jc w:val="center"/>
              <w:rPr>
                <w:rFonts w:ascii="仿宋_GB2312" w:hAnsi="仿宋" w:eastAsia="仿宋_GB2312" w:cs="仿宋"/>
                <w:color w:val="000000"/>
                <w:sz w:val="24"/>
              </w:rPr>
            </w:pP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交通运输</w:t>
            </w:r>
          </w:p>
        </w:tc>
        <w:tc>
          <w:tcPr>
            <w:tcW w:w="2140" w:type="dxa"/>
            <w:vMerge w:val="continue"/>
            <w:vAlign w:val="center"/>
          </w:tcPr>
          <w:p>
            <w:pPr>
              <w:spacing w:line="380" w:lineRule="exact"/>
              <w:jc w:val="left"/>
              <w:rPr>
                <w:rFonts w:ascii="仿宋_GB2312" w:hAnsi="仿宋" w:eastAsia="仿宋_GB2312" w:cs="仿宋"/>
                <w:color w:val="000000"/>
                <w:sz w:val="24"/>
              </w:rPr>
            </w:pPr>
          </w:p>
        </w:tc>
        <w:tc>
          <w:tcPr>
            <w:tcW w:w="3193" w:type="dxa"/>
            <w:vMerge w:val="continue"/>
            <w:vAlign w:val="center"/>
          </w:tcPr>
          <w:p>
            <w:pPr>
              <w:spacing w:line="380" w:lineRule="exact"/>
              <w:jc w:val="left"/>
              <w:rPr>
                <w:rFonts w:ascii="仿宋_GB2312" w:hAnsi="仿宋" w:eastAsia="仿宋_GB2312"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trPr>
        <w:tc>
          <w:tcPr>
            <w:tcW w:w="444" w:type="dxa"/>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14</w:t>
            </w:r>
          </w:p>
        </w:tc>
        <w:tc>
          <w:tcPr>
            <w:tcW w:w="1000" w:type="dxa"/>
            <w:vAlign w:val="center"/>
          </w:tcPr>
          <w:p>
            <w:pPr>
              <w:spacing w:line="380" w:lineRule="exact"/>
              <w:jc w:val="center"/>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建筑类</w:t>
            </w:r>
          </w:p>
        </w:tc>
        <w:tc>
          <w:tcPr>
            <w:tcW w:w="228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土木工程</w:t>
            </w:r>
          </w:p>
        </w:tc>
        <w:tc>
          <w:tcPr>
            <w:tcW w:w="2140" w:type="dxa"/>
            <w:vAlign w:val="center"/>
          </w:tcPr>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1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①</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外语或大学语文</w:t>
            </w:r>
          </w:p>
          <w:p>
            <w:pPr>
              <w:spacing w:line="380" w:lineRule="exact"/>
              <w:jc w:val="left"/>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fldChar w:fldCharType="begin"/>
            </w:r>
            <w:r>
              <w:rPr>
                <w:rFonts w:ascii="仿宋_GB2312" w:hAnsi="仿宋" w:eastAsia="仿宋_GB2312" w:cs="仿宋"/>
                <w:color w:val="000000"/>
                <w:kern w:val="0"/>
                <w:sz w:val="24"/>
              </w:rPr>
              <w:instrText xml:space="preserve"> </w:instrText>
            </w:r>
            <w:r>
              <w:rPr>
                <w:rFonts w:hint="eastAsia" w:ascii="仿宋_GB2312" w:hAnsi="仿宋" w:eastAsia="仿宋_GB2312" w:cs="仿宋"/>
                <w:color w:val="000000"/>
                <w:kern w:val="0"/>
                <w:sz w:val="24"/>
              </w:rPr>
              <w:instrText xml:space="preserve">= 2 \* GB3</w:instrText>
            </w:r>
            <w:r>
              <w:rPr>
                <w:rFonts w:ascii="仿宋_GB2312" w:hAnsi="仿宋" w:eastAsia="仿宋_GB2312" w:cs="仿宋"/>
                <w:color w:val="000000"/>
                <w:kern w:val="0"/>
                <w:sz w:val="24"/>
              </w:rPr>
              <w:instrText xml:space="preserve"> </w:instrText>
            </w:r>
            <w:r>
              <w:rPr>
                <w:rFonts w:ascii="仿宋_GB2312" w:hAnsi="仿宋" w:eastAsia="仿宋_GB2312" w:cs="仿宋"/>
                <w:color w:val="000000"/>
                <w:kern w:val="0"/>
                <w:sz w:val="24"/>
              </w:rPr>
              <w:fldChar w:fldCharType="separate"/>
            </w:r>
            <w:r>
              <w:rPr>
                <w:rFonts w:hint="eastAsia" w:ascii="仿宋_GB2312" w:hAnsi="仿宋" w:eastAsia="仿宋_GB2312" w:cs="仿宋"/>
                <w:color w:val="000000"/>
                <w:kern w:val="0"/>
                <w:sz w:val="24"/>
              </w:rPr>
              <w:t>②</w:t>
            </w:r>
            <w:r>
              <w:rPr>
                <w:rFonts w:ascii="仿宋_GB2312" w:hAnsi="仿宋" w:eastAsia="仿宋_GB2312" w:cs="仿宋"/>
                <w:color w:val="000000"/>
                <w:kern w:val="0"/>
                <w:sz w:val="24"/>
              </w:rPr>
              <w:fldChar w:fldCharType="end"/>
            </w:r>
            <w:r>
              <w:rPr>
                <w:rFonts w:hint="eastAsia" w:ascii="仿宋_GB2312" w:hAnsi="仿宋" w:eastAsia="仿宋_GB2312" w:cs="仿宋"/>
                <w:color w:val="000000"/>
                <w:kern w:val="0"/>
                <w:sz w:val="24"/>
              </w:rPr>
              <w:t>计算机</w:t>
            </w:r>
          </w:p>
        </w:tc>
        <w:tc>
          <w:tcPr>
            <w:tcW w:w="3193" w:type="dxa"/>
            <w:vAlign w:val="center"/>
          </w:tcPr>
          <w:p>
            <w:pPr>
              <w:spacing w:line="380" w:lineRule="exact"/>
              <w:jc w:val="left"/>
              <w:textAlignment w:val="center"/>
              <w:rPr>
                <w:rFonts w:ascii="仿宋_GB2312" w:hAnsi="仿宋" w:eastAsia="仿宋_GB2312" w:cs="仿宋"/>
                <w:color w:val="000000"/>
                <w:sz w:val="24"/>
              </w:rPr>
            </w:pPr>
            <w:r>
              <w:rPr>
                <w:rFonts w:hint="eastAsia" w:ascii="仿宋_GB2312" w:hAnsi="仿宋" w:eastAsia="仿宋_GB2312" w:cs="仿宋"/>
                <w:color w:val="000000"/>
                <w:kern w:val="0"/>
                <w:sz w:val="24"/>
              </w:rPr>
              <w:t>内容涵盖高等数学、结构力学</w:t>
            </w:r>
          </w:p>
        </w:tc>
      </w:tr>
    </w:tbl>
    <w:p>
      <w:pPr>
        <w:spacing w:beforeLines="50" w:line="400" w:lineRule="exact"/>
        <w:rPr>
          <w:rFonts w:ascii="仿宋_GB2312" w:eastAsia="仿宋_GB2312"/>
          <w:sz w:val="24"/>
          <w:szCs w:val="21"/>
        </w:rPr>
      </w:pPr>
      <w:r>
        <w:rPr>
          <w:rFonts w:hint="eastAsia" w:ascii="仿宋_GB2312" w:eastAsia="仿宋_GB2312"/>
          <w:sz w:val="24"/>
          <w:szCs w:val="21"/>
        </w:rPr>
        <w:t>说明：1.考试科目共3门，其中公共课2门，专业综合课1门。</w:t>
      </w:r>
    </w:p>
    <w:p>
      <w:pPr>
        <w:spacing w:line="400" w:lineRule="exact"/>
        <w:ind w:left="932" w:leftChars="340" w:hanging="218" w:hangingChars="91"/>
        <w:rPr>
          <w:rFonts w:ascii="仿宋_GB2312" w:eastAsia="仿宋_GB2312"/>
          <w:sz w:val="24"/>
          <w:szCs w:val="21"/>
        </w:rPr>
      </w:pPr>
      <w:r>
        <w:rPr>
          <w:rFonts w:hint="eastAsia" w:ascii="仿宋_GB2312" w:eastAsia="仿宋_GB2312"/>
          <w:sz w:val="24"/>
          <w:szCs w:val="21"/>
        </w:rPr>
        <w:t>2.公共课包括外语或大学语文（公共外语课为俄语或日语的分别考俄语或日语，</w:t>
      </w:r>
    </w:p>
    <w:p>
      <w:pPr>
        <w:spacing w:line="400" w:lineRule="exact"/>
        <w:ind w:left="903" w:leftChars="430"/>
        <w:rPr>
          <w:rFonts w:ascii="仿宋_GB2312" w:eastAsia="仿宋_GB2312"/>
          <w:sz w:val="24"/>
          <w:szCs w:val="21"/>
        </w:rPr>
      </w:pPr>
      <w:r>
        <w:rPr>
          <w:rFonts w:hint="eastAsia" w:ascii="仿宋_GB2312" w:eastAsia="仿宋_GB2312"/>
          <w:sz w:val="24"/>
          <w:szCs w:val="21"/>
        </w:rPr>
        <w:t>公共外语课为其他小语种和报考外语类专业的考大学语文，其他考英语）、计算机（报考计算机科学与技术专业的考高等数学），每门满分100分，每门考试时间120分钟。</w:t>
      </w:r>
    </w:p>
    <w:p>
      <w:pPr>
        <w:spacing w:line="400" w:lineRule="exact"/>
        <w:ind w:firstLine="712" w:firstLineChars="297"/>
        <w:rPr>
          <w:rFonts w:ascii="仿宋_GB2312" w:eastAsia="仿宋_GB2312"/>
          <w:sz w:val="24"/>
          <w:szCs w:val="21"/>
        </w:rPr>
      </w:pPr>
      <w:r>
        <w:rPr>
          <w:rFonts w:hint="eastAsia" w:ascii="仿宋_GB2312" w:eastAsia="仿宋_GB2312"/>
          <w:sz w:val="24"/>
          <w:szCs w:val="21"/>
        </w:rPr>
        <w:t>3.专业综合课满分150分，考试时间150分钟。</w:t>
      </w:r>
    </w:p>
    <w:p>
      <w:pPr>
        <w:spacing w:line="400" w:lineRule="exact"/>
        <w:ind w:firstLine="712" w:firstLineChars="297"/>
        <w:rPr>
          <w:rFonts w:ascii="仿宋_GB2312" w:eastAsia="仿宋_GB2312"/>
          <w:sz w:val="24"/>
          <w:szCs w:val="21"/>
        </w:rPr>
      </w:pPr>
      <w:r>
        <w:rPr>
          <w:rFonts w:hint="eastAsia" w:ascii="仿宋_GB2312" w:eastAsia="仿宋_GB2312"/>
          <w:sz w:val="24"/>
          <w:szCs w:val="21"/>
        </w:rPr>
        <w:t>4.仅报“3+2”转段的考生考2门公共课，兼报“3+2”转段和普通专升本的考生</w:t>
      </w:r>
    </w:p>
    <w:p>
      <w:pPr>
        <w:spacing w:line="400" w:lineRule="exact"/>
        <w:ind w:firstLine="952" w:firstLineChars="397"/>
        <w:rPr>
          <w:rFonts w:ascii="仿宋_GB2312" w:eastAsia="仿宋_GB2312"/>
          <w:sz w:val="24"/>
          <w:szCs w:val="21"/>
        </w:rPr>
      </w:pPr>
      <w:r>
        <w:rPr>
          <w:rFonts w:hint="eastAsia" w:ascii="仿宋_GB2312" w:eastAsia="仿宋_GB2312"/>
          <w:sz w:val="24"/>
          <w:szCs w:val="21"/>
        </w:rPr>
        <w:t>考2门公共课和1门所填报专业的综合课。免于专业综合课的考生只考2门公</w:t>
      </w:r>
    </w:p>
    <w:p>
      <w:pPr>
        <w:spacing w:line="400" w:lineRule="exact"/>
        <w:ind w:firstLine="952" w:firstLineChars="397"/>
        <w:rPr>
          <w:rFonts w:ascii="仿宋_GB2312" w:eastAsia="仿宋_GB2312"/>
          <w:sz w:val="24"/>
          <w:szCs w:val="21"/>
        </w:rPr>
      </w:pPr>
      <w:r>
        <w:rPr>
          <w:rFonts w:hint="eastAsia" w:ascii="仿宋_GB2312" w:eastAsia="仿宋_GB2312"/>
          <w:sz w:val="24"/>
          <w:szCs w:val="21"/>
        </w:rPr>
        <w:t>共课。</w:t>
      </w:r>
    </w:p>
    <w:p>
      <w:pPr>
        <w:spacing w:beforeLines="50" w:line="360" w:lineRule="exact"/>
        <w:ind w:right="-6" w:rightChars="-3"/>
        <w:rPr>
          <w:rFonts w:ascii="仿宋_GB2312" w:hAnsi="仿宋_GB2312" w:eastAsia="仿宋_GB2312" w:cs="仿宋_GB2312"/>
          <w:sz w:val="28"/>
          <w:szCs w:val="28"/>
        </w:rPr>
      </w:pPr>
    </w:p>
    <w:p>
      <w:pPr>
        <w:spacing w:beforeLines="50" w:line="360" w:lineRule="exact"/>
        <w:ind w:right="-6" w:rightChars="-3"/>
        <w:rPr>
          <w:rFonts w:ascii="仿宋_GB2312" w:hAnsi="仿宋_GB2312" w:eastAsia="仿宋_GB2312" w:cs="仿宋_GB2312"/>
          <w:sz w:val="28"/>
          <w:szCs w:val="28"/>
        </w:rPr>
      </w:pPr>
    </w:p>
    <w:p>
      <w:pPr>
        <w:spacing w:beforeLines="50" w:line="360" w:lineRule="exact"/>
        <w:ind w:right="-6" w:rightChars="-3"/>
        <w:rPr>
          <w:rFonts w:ascii="仿宋_GB2312" w:hAnsi="仿宋_GB2312" w:eastAsia="仿宋_GB2312" w:cs="仿宋_GB2312"/>
          <w:sz w:val="28"/>
          <w:szCs w:val="28"/>
        </w:rPr>
      </w:pPr>
    </w:p>
    <w:p>
      <w:pPr>
        <w:spacing w:beforeLines="50" w:line="360" w:lineRule="exact"/>
        <w:ind w:right="-6" w:rightChars="-3"/>
        <w:rPr>
          <w:rFonts w:ascii="仿宋_GB2312" w:hAnsi="仿宋_GB2312" w:eastAsia="仿宋_GB2312" w:cs="仿宋_GB2312"/>
          <w:sz w:val="28"/>
          <w:szCs w:val="28"/>
        </w:rPr>
      </w:pPr>
    </w:p>
    <w:p>
      <w:pPr>
        <w:spacing w:beforeLines="50" w:line="360" w:lineRule="exact"/>
        <w:ind w:right="-6" w:rightChars="-3"/>
        <w:rPr>
          <w:rFonts w:ascii="仿宋_GB2312" w:hAnsi="仿宋_GB2312" w:eastAsia="仿宋_GB2312" w:cs="仿宋_GB2312"/>
          <w:sz w:val="28"/>
          <w:szCs w:val="28"/>
        </w:rPr>
      </w:pPr>
    </w:p>
    <w:p>
      <w:pPr>
        <w:spacing w:line="300" w:lineRule="exact"/>
        <w:rPr>
          <w:rFonts w:eastAsia="汉仪书宋一简"/>
          <w:szCs w:val="21"/>
        </w:rPr>
        <w:sectPr>
          <w:headerReference r:id="rId3" w:type="default"/>
          <w:footerReference r:id="rId4" w:type="default"/>
          <w:footerReference r:id="rId5" w:type="even"/>
          <w:pgSz w:w="11906" w:h="16838"/>
          <w:pgMar w:top="1928" w:right="1418" w:bottom="1928" w:left="1418" w:header="851" w:footer="1418" w:gutter="0"/>
          <w:cols w:space="720" w:num="1"/>
          <w:docGrid w:type="lines" w:linePitch="324" w:charSpace="0"/>
        </w:sectPr>
      </w:pPr>
    </w:p>
    <w:p>
      <w:pPr>
        <w:spacing w:line="50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Pr>
        <w:adjustRightInd w:val="0"/>
        <w:snapToGrid w:val="0"/>
        <w:spacing w:line="640" w:lineRule="exact"/>
        <w:jc w:val="center"/>
        <w:rPr>
          <w:rFonts w:ascii="方正小标宋_GBK" w:eastAsia="方正小标宋_GBK"/>
          <w:spacing w:val="-4"/>
          <w:sz w:val="44"/>
          <w:szCs w:val="44"/>
        </w:rPr>
      </w:pPr>
      <w:r>
        <w:rPr>
          <w:rFonts w:hint="eastAsia" w:ascii="方正小标宋_GBK" w:eastAsia="方正小标宋_GBK"/>
          <w:spacing w:val="-4"/>
          <w:sz w:val="44"/>
          <w:szCs w:val="44"/>
        </w:rPr>
        <w:t>山东省2019年普通高等教育专升本</w:t>
      </w:r>
    </w:p>
    <w:p>
      <w:pPr>
        <w:adjustRightInd w:val="0"/>
        <w:snapToGrid w:val="0"/>
        <w:spacing w:line="640" w:lineRule="exact"/>
        <w:jc w:val="center"/>
        <w:rPr>
          <w:rFonts w:ascii="方正小标宋_GBK" w:hAnsi="方正小标宋简体" w:eastAsia="方正小标宋_GBK" w:cs="方正小标宋简体"/>
          <w:spacing w:val="-4"/>
          <w:sz w:val="44"/>
          <w:szCs w:val="44"/>
        </w:rPr>
      </w:pPr>
      <w:r>
        <w:rPr>
          <w:rFonts w:hint="eastAsia" w:ascii="方正小标宋_GBK" w:eastAsia="方正小标宋_GBK"/>
          <w:spacing w:val="-4"/>
          <w:sz w:val="44"/>
          <w:szCs w:val="44"/>
        </w:rPr>
        <w:t>英语（公共课）考试要求</w:t>
      </w:r>
    </w:p>
    <w:p>
      <w:pPr>
        <w:adjustRightInd w:val="0"/>
        <w:snapToGrid w:val="0"/>
        <w:spacing w:line="560" w:lineRule="exact"/>
        <w:rPr>
          <w:rFonts w:ascii="仿宋_GB2312" w:hAnsi="仿宋" w:eastAsia="仿宋_GB2312"/>
          <w:sz w:val="32"/>
          <w:szCs w:val="32"/>
        </w:rPr>
      </w:pPr>
      <w:r>
        <w:rPr>
          <w:rFonts w:hint="eastAsia" w:ascii="仿宋_GB2312" w:hAnsi="仿宋" w:eastAsia="仿宋_GB2312"/>
          <w:sz w:val="32"/>
          <w:szCs w:val="32"/>
        </w:rPr>
        <w:t xml:space="preserve">    </w:t>
      </w:r>
    </w:p>
    <w:p>
      <w:pPr>
        <w:adjustRightInd w:val="0"/>
        <w:snapToGrid w:val="0"/>
        <w:spacing w:line="580" w:lineRule="exact"/>
        <w:ind w:firstLine="640" w:firstLineChars="200"/>
        <w:rPr>
          <w:rFonts w:ascii="方正小标宋_GBK" w:hAnsi="黑体" w:eastAsia="方正小标宋_GBK" w:cs="Courier New"/>
          <w:spacing w:val="-4"/>
          <w:sz w:val="44"/>
          <w:szCs w:val="44"/>
        </w:rPr>
      </w:pPr>
      <w:r>
        <w:rPr>
          <w:rFonts w:hint="eastAsia" w:ascii="仿宋_GB2312" w:hAnsi="仿宋" w:eastAsia="仿宋_GB2312"/>
          <w:sz w:val="32"/>
          <w:szCs w:val="32"/>
        </w:rPr>
        <w:t>英语（公共课）科目考试以《山东省高职高专英语应用能力考试大纲》为依据。</w:t>
      </w:r>
    </w:p>
    <w:p>
      <w:pPr>
        <w:spacing w:line="500" w:lineRule="exact"/>
        <w:rPr>
          <w:rFonts w:ascii="黑体" w:eastAsia="黑体"/>
          <w:sz w:val="32"/>
          <w:szCs w:val="32"/>
        </w:rPr>
      </w:pPr>
    </w:p>
    <w:p>
      <w:pPr>
        <w:spacing w:line="500" w:lineRule="exact"/>
        <w:rPr>
          <w:rFonts w:ascii="黑体" w:eastAsia="黑体"/>
          <w:sz w:val="32"/>
          <w:szCs w:val="32"/>
        </w:rPr>
      </w:pPr>
    </w:p>
    <w:p>
      <w:pPr>
        <w:spacing w:line="500" w:lineRule="exact"/>
        <w:rPr>
          <w:rFonts w:ascii="黑体" w:hAnsi="黑体" w:eastAsia="黑体"/>
          <w:sz w:val="32"/>
          <w:szCs w:val="32"/>
        </w:rPr>
      </w:pPr>
      <w:r>
        <w:rPr>
          <w:rFonts w:ascii="黑体" w:eastAsia="黑体"/>
          <w:sz w:val="32"/>
          <w:szCs w:val="32"/>
        </w:rPr>
        <w:br w:type="page"/>
      </w:r>
      <w:r>
        <w:rPr>
          <w:rFonts w:ascii="黑体" w:hAnsi="黑体" w:eastAsia="黑体"/>
          <w:sz w:val="32"/>
          <w:szCs w:val="32"/>
        </w:rPr>
        <w:t>附件</w:t>
      </w:r>
      <w:r>
        <w:rPr>
          <w:rFonts w:hint="eastAsia" w:ascii="黑体" w:hAnsi="黑体" w:eastAsia="黑体"/>
          <w:sz w:val="32"/>
          <w:szCs w:val="32"/>
        </w:rPr>
        <w:t>3</w:t>
      </w:r>
    </w:p>
    <w:p>
      <w:pPr>
        <w:adjustRightInd w:val="0"/>
        <w:snapToGrid w:val="0"/>
        <w:spacing w:line="640" w:lineRule="exact"/>
        <w:jc w:val="center"/>
        <w:rPr>
          <w:rFonts w:ascii="方正小标宋_GBK" w:eastAsia="方正小标宋_GBK"/>
          <w:spacing w:val="-4"/>
          <w:sz w:val="44"/>
          <w:szCs w:val="44"/>
        </w:rPr>
      </w:pPr>
      <w:r>
        <w:rPr>
          <w:rFonts w:hint="eastAsia" w:ascii="方正小标宋_GBK" w:eastAsia="方正小标宋_GBK"/>
          <w:spacing w:val="-4"/>
          <w:sz w:val="44"/>
          <w:szCs w:val="44"/>
        </w:rPr>
        <w:t>山东省2019年普通高等教育专升本</w:t>
      </w:r>
    </w:p>
    <w:p>
      <w:pPr>
        <w:adjustRightInd w:val="0"/>
        <w:snapToGrid w:val="0"/>
        <w:spacing w:line="640" w:lineRule="exact"/>
        <w:jc w:val="center"/>
        <w:rPr>
          <w:rFonts w:eastAsia="方正小标宋简体"/>
          <w:spacing w:val="-4"/>
          <w:sz w:val="44"/>
          <w:szCs w:val="44"/>
        </w:rPr>
      </w:pPr>
      <w:r>
        <w:rPr>
          <w:rFonts w:hint="eastAsia" w:ascii="方正小标宋_GBK" w:eastAsia="方正小标宋_GBK"/>
          <w:spacing w:val="-4"/>
          <w:sz w:val="44"/>
          <w:szCs w:val="44"/>
        </w:rPr>
        <w:t>计算机（公共课）考试要求</w:t>
      </w:r>
    </w:p>
    <w:p>
      <w:pPr>
        <w:adjustRightInd w:val="0"/>
        <w:snapToGrid w:val="0"/>
        <w:spacing w:line="580" w:lineRule="exact"/>
        <w:jc w:val="center"/>
        <w:rPr>
          <w:rFonts w:eastAsia="方正小标宋简体"/>
          <w:spacing w:val="-4"/>
          <w:sz w:val="44"/>
          <w:szCs w:val="44"/>
        </w:rPr>
      </w:pPr>
    </w:p>
    <w:p>
      <w:pPr>
        <w:spacing w:beforeLines="50" w:line="58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pStyle w:val="5"/>
        <w:spacing w:line="580" w:lineRule="exact"/>
        <w:ind w:left="40" w:firstLine="640"/>
        <w:rPr>
          <w:rFonts w:ascii="仿宋_GB2312" w:hAnsi="宋体" w:eastAsia="仿宋_GB2312"/>
          <w:sz w:val="32"/>
          <w:szCs w:val="32"/>
        </w:rPr>
      </w:pPr>
      <w:r>
        <w:rPr>
          <w:rFonts w:hint="eastAsia" w:ascii="仿宋_GB2312" w:hAnsi="宋体" w:eastAsia="仿宋_GB2312"/>
          <w:sz w:val="32"/>
          <w:szCs w:val="32"/>
        </w:rPr>
        <w:t>本考试要求依据《中国高等院校计算机基础教育课程体系200</w:t>
      </w:r>
      <w:r>
        <w:rPr>
          <w:rFonts w:ascii="仿宋_GB2312" w:hAnsi="宋体" w:eastAsia="仿宋_GB2312"/>
          <w:sz w:val="32"/>
          <w:szCs w:val="32"/>
        </w:rPr>
        <w:t>8</w:t>
      </w:r>
      <w:r>
        <w:rPr>
          <w:rFonts w:hint="eastAsia" w:ascii="仿宋_GB2312" w:hAnsi="宋体" w:eastAsia="仿宋_GB2312"/>
          <w:sz w:val="32"/>
          <w:szCs w:val="32"/>
        </w:rPr>
        <w:t>》和教育部高等学校计算机科学与技术教学指导委员会编制的《关于进一步加强高等学校计算机基础教学的意见暨计算机基础课程教学基本要求（试行）》及山东省教育厅《关于加强普通高校计算机基础教学的意见》，根据当前山东省高校计算机公共基础课程教学的实际情况而制订;旨在考查考生使用计算机解决实际问题的意识、考生的计算思维和计算机应用能力。</w:t>
      </w:r>
    </w:p>
    <w:p>
      <w:pPr>
        <w:spacing w:beforeLines="50" w:line="580" w:lineRule="exact"/>
        <w:ind w:firstLine="640" w:firstLineChars="200"/>
        <w:rPr>
          <w:rFonts w:ascii="黑体" w:hAnsi="黑体" w:eastAsia="黑体" w:cs="黑体"/>
          <w:sz w:val="32"/>
          <w:szCs w:val="32"/>
        </w:rPr>
      </w:pPr>
      <w:r>
        <w:rPr>
          <w:rFonts w:hint="eastAsia" w:ascii="黑体" w:hAnsi="黑体" w:eastAsia="黑体" w:cs="黑体"/>
          <w:sz w:val="32"/>
          <w:szCs w:val="32"/>
        </w:rPr>
        <w:t>二、总体要求</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要求考生达到新时期计算机文化的基础层次：</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（一）具备信息技术和计算机文化的基础知识，了解计算机系统的组成和各组成部分的功能。</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（二）了解操作系统的基本知识，掌握</w:t>
      </w:r>
      <w:r>
        <w:rPr>
          <w:rFonts w:ascii="仿宋_GB2312" w:hAnsi="宋体" w:eastAsia="仿宋_GB2312"/>
          <w:sz w:val="32"/>
          <w:szCs w:val="32"/>
        </w:rPr>
        <w:t>Windows 7</w:t>
      </w:r>
      <w:r>
        <w:rPr>
          <w:rFonts w:hint="eastAsia" w:ascii="仿宋_GB2312" w:hAnsi="宋体" w:eastAsia="仿宋_GB2312"/>
          <w:sz w:val="32"/>
          <w:szCs w:val="32"/>
        </w:rPr>
        <w:t>的基本操作和应用，熟练掌握信息采集、信息储存、信息传输和信息处理的常用方法。</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（三）了解文字处理的基本知识，掌握</w:t>
      </w:r>
      <w:r>
        <w:rPr>
          <w:rFonts w:ascii="仿宋_GB2312" w:hAnsi="宋体" w:eastAsia="仿宋_GB2312"/>
          <w:sz w:val="32"/>
          <w:szCs w:val="32"/>
        </w:rPr>
        <w:t>Word 2010</w:t>
      </w:r>
      <w:r>
        <w:rPr>
          <w:rFonts w:hint="eastAsia" w:ascii="仿宋_GB2312" w:hAnsi="宋体" w:eastAsia="仿宋_GB2312"/>
          <w:sz w:val="32"/>
          <w:szCs w:val="32"/>
        </w:rPr>
        <w:t>的基本操作和应用。</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（四）了解电子表格软件的基本知识，掌握</w:t>
      </w:r>
      <w:r>
        <w:rPr>
          <w:rFonts w:ascii="仿宋_GB2312" w:hAnsi="宋体" w:eastAsia="仿宋_GB2312"/>
          <w:sz w:val="32"/>
          <w:szCs w:val="32"/>
        </w:rPr>
        <w:t>Excel 2010</w:t>
      </w:r>
      <w:r>
        <w:rPr>
          <w:rFonts w:hint="eastAsia" w:ascii="仿宋_GB2312" w:hAnsi="宋体" w:eastAsia="仿宋_GB2312"/>
          <w:sz w:val="32"/>
          <w:szCs w:val="32"/>
        </w:rPr>
        <w:t>的基本操作和应用。</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（五）了解演示文稿的基本知识，掌握</w:t>
      </w:r>
      <w:r>
        <w:rPr>
          <w:rFonts w:ascii="仿宋_GB2312" w:hAnsi="宋体" w:eastAsia="仿宋_GB2312"/>
          <w:sz w:val="32"/>
          <w:szCs w:val="32"/>
        </w:rPr>
        <w:t>PowerPoint 2010</w:t>
      </w:r>
      <w:r>
        <w:rPr>
          <w:rFonts w:hint="eastAsia" w:ascii="仿宋_GB2312" w:hAnsi="宋体" w:eastAsia="仿宋_GB2312"/>
          <w:sz w:val="32"/>
          <w:szCs w:val="32"/>
        </w:rPr>
        <w:t>的基本操作和应用。</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（六）了解数据库的基本知识及简单应用。</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（七）了解计算机网络及</w:t>
      </w:r>
      <w:r>
        <w:rPr>
          <w:rFonts w:ascii="仿宋_GB2312" w:hAnsi="宋体" w:eastAsia="仿宋_GB2312"/>
          <w:sz w:val="32"/>
          <w:szCs w:val="32"/>
        </w:rPr>
        <w:t>Internet</w:t>
      </w:r>
      <w:r>
        <w:rPr>
          <w:rFonts w:hint="eastAsia" w:ascii="仿宋_GB2312" w:hAnsi="宋体" w:eastAsia="仿宋_GB2312"/>
          <w:sz w:val="32"/>
          <w:szCs w:val="32"/>
        </w:rPr>
        <w:t>的初步知识，掌握</w:t>
      </w:r>
      <w:r>
        <w:rPr>
          <w:rFonts w:ascii="仿宋_GB2312" w:hAnsi="宋体" w:eastAsia="仿宋_GB2312"/>
          <w:sz w:val="32"/>
          <w:szCs w:val="32"/>
        </w:rPr>
        <w:t>Internet</w:t>
      </w:r>
      <w:r>
        <w:rPr>
          <w:rFonts w:hint="eastAsia" w:ascii="仿宋_GB2312" w:hAnsi="宋体" w:eastAsia="仿宋_GB2312"/>
          <w:sz w:val="32"/>
          <w:szCs w:val="32"/>
        </w:rPr>
        <w:t>的简单运用。了解</w:t>
      </w:r>
      <w:r>
        <w:rPr>
          <w:rFonts w:ascii="仿宋_GB2312" w:hAnsi="宋体" w:eastAsia="仿宋_GB2312"/>
          <w:sz w:val="32"/>
          <w:szCs w:val="32"/>
        </w:rPr>
        <w:t>HTML</w:t>
      </w:r>
      <w:r>
        <w:rPr>
          <w:rFonts w:hint="eastAsia" w:ascii="仿宋_GB2312" w:hAnsi="宋体" w:eastAsia="仿宋_GB2312"/>
          <w:sz w:val="32"/>
          <w:szCs w:val="32"/>
        </w:rPr>
        <w:t>的基本知识，会使用</w:t>
      </w:r>
      <w:r>
        <w:rPr>
          <w:rFonts w:ascii="仿宋_GB2312" w:hAnsi="宋体" w:eastAsia="仿宋_GB2312"/>
          <w:sz w:val="32"/>
          <w:szCs w:val="32"/>
        </w:rPr>
        <w:t>Dreamweaver</w:t>
      </w:r>
      <w:r>
        <w:rPr>
          <w:rFonts w:hint="eastAsia" w:ascii="仿宋_GB2312" w:hAnsi="宋体" w:eastAsia="仿宋_GB2312"/>
          <w:sz w:val="32"/>
          <w:szCs w:val="32"/>
        </w:rPr>
        <w:t>制作网页。</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（八）了解多媒体的基础知识，掌握常用多媒体软件的简单使用。</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（九）了解网络信息安全的基本知识。</w:t>
      </w:r>
    </w:p>
    <w:p>
      <w:pPr>
        <w:spacing w:beforeLines="50" w:line="580" w:lineRule="exact"/>
        <w:ind w:firstLine="640" w:firstLineChars="200"/>
        <w:rPr>
          <w:rFonts w:ascii="黑体" w:hAnsi="黑体" w:eastAsia="黑体" w:cs="黑体"/>
          <w:sz w:val="32"/>
          <w:szCs w:val="32"/>
        </w:rPr>
      </w:pPr>
      <w:r>
        <w:rPr>
          <w:rFonts w:hint="eastAsia" w:ascii="黑体" w:hAnsi="黑体" w:eastAsia="黑体" w:cs="黑体"/>
          <w:sz w:val="32"/>
          <w:szCs w:val="32"/>
        </w:rPr>
        <w:t>三、内容范围</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（一）计算机基础知识</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数据和信息，信息社会，信息技术，“计算机文化”的内涵等基本知识。计算机的概念、起源、发展、特点、类型、应用及其发展趋势。</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有关进制的相关概念，二、八、十、十六进制之间的相互转换。数值、字符（西文、汉字）在计算机中的表示，数据的表示和存储单位（位、字节、字）。</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计算机硬件系统的组成和功能：</w:t>
      </w:r>
      <w:r>
        <w:rPr>
          <w:rFonts w:ascii="仿宋_GB2312" w:hAnsi="宋体" w:eastAsia="仿宋_GB2312"/>
          <w:sz w:val="32"/>
          <w:szCs w:val="32"/>
        </w:rPr>
        <w:t>CPU</w:t>
      </w:r>
      <w:r>
        <w:rPr>
          <w:rFonts w:hint="eastAsia" w:ascii="仿宋_GB2312" w:hAnsi="宋体" w:eastAsia="仿宋_GB2312"/>
          <w:sz w:val="32"/>
          <w:szCs w:val="32"/>
        </w:rPr>
        <w:t>、存储器（</w:t>
      </w:r>
      <w:r>
        <w:rPr>
          <w:rFonts w:ascii="仿宋_GB2312" w:hAnsi="宋体" w:eastAsia="仿宋_GB2312"/>
          <w:sz w:val="32"/>
          <w:szCs w:val="32"/>
        </w:rPr>
        <w:t>ROM</w:t>
      </w:r>
      <w:r>
        <w:rPr>
          <w:rFonts w:hint="eastAsia" w:ascii="仿宋_GB2312" w:hAnsi="宋体" w:eastAsia="仿宋_GB2312"/>
          <w:sz w:val="32"/>
          <w:szCs w:val="32"/>
        </w:rPr>
        <w:t>、</w:t>
      </w:r>
      <w:r>
        <w:rPr>
          <w:rFonts w:ascii="仿宋_GB2312" w:hAnsi="宋体" w:eastAsia="仿宋_GB2312"/>
          <w:sz w:val="32"/>
          <w:szCs w:val="32"/>
        </w:rPr>
        <w:t>RAM</w:t>
      </w:r>
      <w:r>
        <w:rPr>
          <w:rFonts w:hint="eastAsia" w:ascii="仿宋_GB2312" w:hAnsi="宋体" w:eastAsia="仿宋_GB2312"/>
          <w:sz w:val="32"/>
          <w:szCs w:val="32"/>
        </w:rPr>
        <w:t>）以及常用的输入输出设备的功能。计算机软件系统的组成：系统软件和应用软件，程序设计语言（机器语言、汇编语言、高级语言）及语言处理程序的概念。微型计算机硬件配置及常见硬件设备。</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（二）操作系统</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操作系统的概念、功能、特征及分类，</w:t>
      </w:r>
      <w:r>
        <w:rPr>
          <w:rFonts w:ascii="仿宋_GB2312" w:hAnsi="宋体" w:eastAsia="仿宋_GB2312"/>
          <w:sz w:val="32"/>
          <w:szCs w:val="32"/>
        </w:rPr>
        <w:t xml:space="preserve">Windows 7 </w:t>
      </w:r>
      <w:r>
        <w:rPr>
          <w:rFonts w:hint="eastAsia" w:ascii="仿宋_GB2312" w:hAnsi="宋体" w:eastAsia="仿宋_GB2312"/>
          <w:sz w:val="32"/>
          <w:szCs w:val="32"/>
        </w:rPr>
        <w:t>基本知识及基本操作，桌面及桌面操作，窗口的组成，对话框和控件的使用，剪贴板的基本操作。</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文件及文件夹管理：文件和文件夹的概念、命名规则，掌握“计算机”和“资源管理器”的操作，文件和文件夹的创建、移动、复制、删除及恢复（回收站操作）、重命名、查找和属性设置、快捷方式的创建、文件的压缩等，库操作。</w:t>
      </w:r>
    </w:p>
    <w:p>
      <w:pPr>
        <w:pStyle w:val="5"/>
        <w:spacing w:line="580" w:lineRule="exact"/>
        <w:ind w:firstLine="640"/>
        <w:rPr>
          <w:rFonts w:ascii="仿宋_GB2312" w:hAnsi="宋体" w:eastAsia="仿宋_GB2312"/>
          <w:sz w:val="32"/>
          <w:szCs w:val="32"/>
        </w:rPr>
      </w:pPr>
      <w:r>
        <w:rPr>
          <w:rFonts w:ascii="仿宋_GB2312" w:hAnsi="宋体" w:eastAsia="仿宋_GB2312"/>
          <w:sz w:val="32"/>
          <w:szCs w:val="32"/>
        </w:rPr>
        <w:t xml:space="preserve">Windows 7 </w:t>
      </w:r>
      <w:r>
        <w:rPr>
          <w:rFonts w:hint="eastAsia" w:ascii="仿宋_GB2312" w:hAnsi="宋体" w:eastAsia="仿宋_GB2312"/>
          <w:sz w:val="32"/>
          <w:szCs w:val="32"/>
        </w:rPr>
        <w:t>中控制面板的操作：设置时钟、语言和区域，声音设置，打印机设置，设备管理器的使用，程序的添加和卸载，管理用户和用户组。</w:t>
      </w:r>
    </w:p>
    <w:p>
      <w:pPr>
        <w:pStyle w:val="5"/>
        <w:spacing w:line="580" w:lineRule="exact"/>
        <w:ind w:firstLine="640"/>
        <w:rPr>
          <w:rFonts w:ascii="仿宋_GB2312" w:hAnsi="宋体" w:eastAsia="仿宋_GB2312"/>
          <w:sz w:val="32"/>
          <w:szCs w:val="32"/>
        </w:rPr>
      </w:pPr>
      <w:r>
        <w:rPr>
          <w:rFonts w:ascii="仿宋_GB2312" w:hAnsi="宋体" w:eastAsia="仿宋_GB2312"/>
          <w:sz w:val="32"/>
          <w:szCs w:val="32"/>
        </w:rPr>
        <w:t xml:space="preserve">Windows 7 </w:t>
      </w:r>
      <w:r>
        <w:rPr>
          <w:rFonts w:hint="eastAsia" w:ascii="仿宋_GB2312" w:hAnsi="宋体" w:eastAsia="仿宋_GB2312"/>
          <w:sz w:val="32"/>
          <w:szCs w:val="32"/>
        </w:rPr>
        <w:t>的系统维护与性能优化：磁盘的格式化、磁盘的清理、磁盘的碎片整理，磁盘的检查和备份，文件的备份和还原，使用</w:t>
      </w:r>
      <w:r>
        <w:rPr>
          <w:rFonts w:ascii="仿宋_GB2312" w:hAnsi="宋体" w:eastAsia="仿宋_GB2312"/>
          <w:sz w:val="32"/>
          <w:szCs w:val="32"/>
        </w:rPr>
        <w:t xml:space="preserve">Windows </w:t>
      </w:r>
      <w:r>
        <w:rPr>
          <w:rFonts w:hint="eastAsia" w:ascii="仿宋_GB2312" w:hAnsi="宋体" w:eastAsia="仿宋_GB2312"/>
          <w:sz w:val="32"/>
          <w:szCs w:val="32"/>
        </w:rPr>
        <w:t>组策略增强系统安全防护。</w:t>
      </w:r>
    </w:p>
    <w:p>
      <w:pPr>
        <w:pStyle w:val="5"/>
        <w:spacing w:line="580" w:lineRule="exact"/>
        <w:ind w:firstLine="640"/>
        <w:rPr>
          <w:rFonts w:ascii="仿宋_GB2312" w:hAnsi="宋体" w:eastAsia="仿宋_GB2312"/>
          <w:sz w:val="32"/>
          <w:szCs w:val="32"/>
        </w:rPr>
      </w:pPr>
      <w:r>
        <w:rPr>
          <w:rFonts w:ascii="仿宋_GB2312" w:hAnsi="宋体" w:eastAsia="仿宋_GB2312"/>
          <w:sz w:val="32"/>
          <w:szCs w:val="32"/>
        </w:rPr>
        <w:t xml:space="preserve">Windows 7 </w:t>
      </w:r>
      <w:r>
        <w:rPr>
          <w:rFonts w:hint="eastAsia" w:ascii="仿宋_GB2312" w:hAnsi="宋体" w:eastAsia="仿宋_GB2312"/>
          <w:sz w:val="32"/>
          <w:szCs w:val="32"/>
        </w:rPr>
        <w:t>中实用程序的使用：“记事本”和“写字板”、“画图”、“截图工具”、“录音机”、“计算器”、“数学输入面板”等。</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（三）字处理软件</w:t>
      </w:r>
    </w:p>
    <w:p>
      <w:pPr>
        <w:pStyle w:val="5"/>
        <w:spacing w:line="580" w:lineRule="exact"/>
        <w:ind w:firstLine="640"/>
        <w:rPr>
          <w:rFonts w:ascii="仿宋_GB2312" w:hAnsi="宋体" w:eastAsia="仿宋_GB2312"/>
          <w:sz w:val="32"/>
          <w:szCs w:val="32"/>
        </w:rPr>
      </w:pPr>
      <w:r>
        <w:rPr>
          <w:rFonts w:ascii="仿宋_GB2312" w:hAnsi="宋体" w:eastAsia="仿宋_GB2312"/>
          <w:sz w:val="32"/>
          <w:szCs w:val="32"/>
        </w:rPr>
        <w:t xml:space="preserve">Office 2010 </w:t>
      </w:r>
      <w:r>
        <w:rPr>
          <w:rFonts w:hint="eastAsia" w:ascii="仿宋_GB2312" w:hAnsi="宋体" w:eastAsia="仿宋_GB2312"/>
          <w:sz w:val="32"/>
          <w:szCs w:val="32"/>
        </w:rPr>
        <w:t>的基本知识：</w:t>
      </w:r>
      <w:r>
        <w:rPr>
          <w:rFonts w:ascii="仿宋_GB2312" w:hAnsi="宋体" w:eastAsia="仿宋_GB2312"/>
          <w:sz w:val="32"/>
          <w:szCs w:val="32"/>
        </w:rPr>
        <w:t xml:space="preserve">Office 2010 </w:t>
      </w:r>
      <w:r>
        <w:rPr>
          <w:rFonts w:hint="eastAsia" w:ascii="仿宋_GB2312" w:hAnsi="宋体" w:eastAsia="仿宋_GB2312"/>
          <w:sz w:val="32"/>
          <w:szCs w:val="32"/>
        </w:rPr>
        <w:t>版本及常用组件，典型字处理软件，</w:t>
      </w:r>
      <w:r>
        <w:rPr>
          <w:rFonts w:ascii="仿宋_GB2312" w:hAnsi="宋体" w:eastAsia="仿宋_GB2312"/>
          <w:sz w:val="32"/>
          <w:szCs w:val="32"/>
        </w:rPr>
        <w:t>Office 2010</w:t>
      </w:r>
      <w:r>
        <w:rPr>
          <w:rFonts w:hint="eastAsia" w:ascii="仿宋_GB2312" w:hAnsi="宋体" w:eastAsia="仿宋_GB2312"/>
          <w:sz w:val="32"/>
          <w:szCs w:val="32"/>
        </w:rPr>
        <w:t>应用程序的启动与退出，</w:t>
      </w:r>
      <w:r>
        <w:rPr>
          <w:rFonts w:ascii="仿宋_GB2312" w:hAnsi="宋体" w:eastAsia="仿宋_GB2312"/>
          <w:sz w:val="32"/>
          <w:szCs w:val="32"/>
        </w:rPr>
        <w:t xml:space="preserve">Office 2010 </w:t>
      </w:r>
      <w:r>
        <w:rPr>
          <w:rFonts w:hint="eastAsia" w:ascii="仿宋_GB2312" w:hAnsi="宋体" w:eastAsia="仿宋_GB2312"/>
          <w:sz w:val="32"/>
          <w:szCs w:val="32"/>
        </w:rPr>
        <w:t>应用程序界面结构，</w:t>
      </w:r>
      <w:r>
        <w:rPr>
          <w:rFonts w:ascii="仿宋_GB2312" w:hAnsi="宋体" w:eastAsia="仿宋_GB2312"/>
          <w:sz w:val="32"/>
          <w:szCs w:val="32"/>
        </w:rPr>
        <w:t xml:space="preserve">Backstage </w:t>
      </w:r>
      <w:r>
        <w:rPr>
          <w:rFonts w:hint="eastAsia" w:ascii="仿宋_GB2312" w:hAnsi="宋体" w:eastAsia="仿宋_GB2312"/>
          <w:sz w:val="32"/>
          <w:szCs w:val="32"/>
        </w:rPr>
        <w:t>视图，</w:t>
      </w:r>
      <w:r>
        <w:rPr>
          <w:rFonts w:ascii="仿宋_GB2312" w:hAnsi="宋体" w:eastAsia="仿宋_GB2312"/>
          <w:sz w:val="32"/>
          <w:szCs w:val="32"/>
        </w:rPr>
        <w:t xml:space="preserve">Office 2010 </w:t>
      </w:r>
      <w:r>
        <w:rPr>
          <w:rFonts w:hint="eastAsia" w:ascii="仿宋_GB2312" w:hAnsi="宋体" w:eastAsia="仿宋_GB2312"/>
          <w:sz w:val="32"/>
          <w:szCs w:val="32"/>
        </w:rPr>
        <w:t>界面的个性定制，</w:t>
      </w:r>
      <w:r>
        <w:rPr>
          <w:rFonts w:ascii="仿宋_GB2312" w:hAnsi="宋体" w:eastAsia="仿宋_GB2312"/>
          <w:sz w:val="32"/>
          <w:szCs w:val="32"/>
        </w:rPr>
        <w:t xml:space="preserve">Office 2010 </w:t>
      </w:r>
      <w:r>
        <w:rPr>
          <w:rFonts w:hint="eastAsia" w:ascii="仿宋_GB2312" w:hAnsi="宋体" w:eastAsia="仿宋_GB2312"/>
          <w:sz w:val="32"/>
          <w:szCs w:val="32"/>
        </w:rPr>
        <w:t>应用程序文档的保存、打开，</w:t>
      </w:r>
      <w:r>
        <w:rPr>
          <w:rFonts w:ascii="仿宋_GB2312" w:hAnsi="宋体" w:eastAsia="仿宋_GB2312"/>
          <w:sz w:val="32"/>
          <w:szCs w:val="32"/>
        </w:rPr>
        <w:t xml:space="preserve">Office 2010 </w:t>
      </w:r>
      <w:r>
        <w:rPr>
          <w:rFonts w:hint="eastAsia" w:ascii="仿宋_GB2312" w:hAnsi="宋体" w:eastAsia="仿宋_GB2312"/>
          <w:sz w:val="32"/>
          <w:szCs w:val="32"/>
        </w:rPr>
        <w:t>应用程序帮助的使用。</w:t>
      </w:r>
    </w:p>
    <w:p>
      <w:pPr>
        <w:pStyle w:val="5"/>
        <w:spacing w:line="580" w:lineRule="exact"/>
        <w:ind w:firstLine="640"/>
        <w:rPr>
          <w:rFonts w:ascii="仿宋_GB2312" w:hAnsi="宋体" w:eastAsia="仿宋_GB2312"/>
          <w:sz w:val="32"/>
          <w:szCs w:val="32"/>
        </w:rPr>
      </w:pPr>
      <w:r>
        <w:rPr>
          <w:rFonts w:ascii="仿宋_GB2312" w:hAnsi="宋体" w:eastAsia="仿宋_GB2312"/>
          <w:sz w:val="32"/>
          <w:szCs w:val="32"/>
        </w:rPr>
        <w:t xml:space="preserve">Word 2010 </w:t>
      </w:r>
      <w:r>
        <w:rPr>
          <w:rFonts w:hint="eastAsia" w:ascii="仿宋_GB2312" w:hAnsi="宋体" w:eastAsia="仿宋_GB2312"/>
          <w:sz w:val="32"/>
          <w:szCs w:val="32"/>
        </w:rPr>
        <w:t>的主要功能，文档视图，文本及符号的录入和编辑操作，文本的查找与替换，撤消与恢复，文档校对。</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字符格式、段落格式的基本操作，项目符号和编号的使用，分节、分页和分栏，设置页眉、页脚和页码、边框和底纹，样式的定义和使用，版面设置。</w:t>
      </w:r>
    </w:p>
    <w:p>
      <w:pPr>
        <w:pStyle w:val="5"/>
        <w:spacing w:line="580" w:lineRule="exact"/>
        <w:ind w:firstLine="640"/>
        <w:rPr>
          <w:rFonts w:ascii="仿宋_GB2312" w:hAnsi="宋体" w:eastAsia="仿宋_GB2312"/>
          <w:sz w:val="32"/>
          <w:szCs w:val="32"/>
        </w:rPr>
      </w:pPr>
      <w:r>
        <w:rPr>
          <w:rFonts w:ascii="仿宋_GB2312" w:hAnsi="宋体" w:eastAsia="仿宋_GB2312"/>
          <w:sz w:val="32"/>
          <w:szCs w:val="32"/>
        </w:rPr>
        <w:t xml:space="preserve">Word 2010 </w:t>
      </w:r>
      <w:r>
        <w:rPr>
          <w:rFonts w:hint="eastAsia" w:ascii="仿宋_GB2312" w:hAnsi="宋体" w:eastAsia="仿宋_GB2312"/>
          <w:sz w:val="32"/>
          <w:szCs w:val="32"/>
        </w:rPr>
        <w:t>表格操作：表格的创建、表格编辑、表格的格式化，表格中数据的输入与编辑，文字与表格的转换；表格计算。</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图文混排：屏幕截图，插入和编辑剪贴画、图片、艺术字、形状、数学公式、文本框等，插入</w:t>
      </w:r>
      <w:r>
        <w:rPr>
          <w:rFonts w:ascii="仿宋_GB2312" w:hAnsi="宋体" w:eastAsia="仿宋_GB2312"/>
          <w:sz w:val="32"/>
          <w:szCs w:val="32"/>
        </w:rPr>
        <w:t xml:space="preserve">SmartArt </w:t>
      </w:r>
      <w:r>
        <w:rPr>
          <w:rFonts w:hint="eastAsia" w:ascii="仿宋_GB2312" w:hAnsi="宋体" w:eastAsia="仿宋_GB2312"/>
          <w:sz w:val="32"/>
          <w:szCs w:val="32"/>
        </w:rPr>
        <w:t>图形。</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文档的保护与打印，邮件合并，插入目录，审阅与修订文档。</w:t>
      </w:r>
    </w:p>
    <w:p>
      <w:pPr>
        <w:pStyle w:val="5"/>
        <w:spacing w:line="58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（四）电子表格系统</w:t>
      </w:r>
    </w:p>
    <w:p>
      <w:pPr>
        <w:pStyle w:val="5"/>
        <w:spacing w:line="580" w:lineRule="exact"/>
        <w:ind w:firstLine="640"/>
        <w:rPr>
          <w:rFonts w:ascii="仿宋_GB2312" w:hAnsi="宋体" w:eastAsia="仿宋_GB2312"/>
          <w:sz w:val="32"/>
          <w:szCs w:val="32"/>
        </w:rPr>
      </w:pPr>
      <w:r>
        <w:rPr>
          <w:rFonts w:ascii="仿宋_GB2312" w:hAnsi="宋体" w:eastAsia="仿宋_GB2312"/>
          <w:sz w:val="32"/>
          <w:szCs w:val="32"/>
        </w:rPr>
        <w:t xml:space="preserve">Excel 2010 </w:t>
      </w:r>
      <w:r>
        <w:rPr>
          <w:rFonts w:hint="eastAsia" w:ascii="仿宋_GB2312" w:hAnsi="宋体" w:eastAsia="仿宋_GB2312"/>
          <w:sz w:val="32"/>
          <w:szCs w:val="32"/>
        </w:rPr>
        <w:t>的窗口组成，工作簿和工作表的基本概念，单元格和单元格区域的概念，工作簿的新建、打开、保存、关闭。</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工作表的插入、删除、复制、移动、重命名和隐藏等基本操作，行、列的插入与删除，行、列的锁定和隐藏。单元格区域的选择，各种类型数据的输入、编辑及数据填充功能的使用。</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绝对引用、相对引用和三维地址引用，工作表中公式的输入与常用函数的简单使用，批注的使用。</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工作表格式化及数据格式化，调整单元格的行高和列宽，自动套用格式和条件格式的使用。</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数据清单的概念，记录的排序、筛选、分类汇总、合并计算，数据透视表，获取外部数据，模拟分析。</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图表的创建和编辑，迷你图，页面设置及分页符使用，表格打印。</w:t>
      </w:r>
    </w:p>
    <w:p>
      <w:pPr>
        <w:pStyle w:val="5"/>
        <w:spacing w:line="58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（五）演示文稿软件</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演示文稿的创建、打开、保存及演示文稿的视图。</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幻灯片及幻灯片页面内容的编辑操作，创建</w:t>
      </w:r>
      <w:r>
        <w:rPr>
          <w:rFonts w:ascii="仿宋_GB2312" w:hAnsi="宋体" w:eastAsia="仿宋_GB2312"/>
          <w:sz w:val="32"/>
          <w:szCs w:val="32"/>
        </w:rPr>
        <w:t xml:space="preserve">SmartArt </w:t>
      </w:r>
      <w:r>
        <w:rPr>
          <w:rFonts w:hint="eastAsia" w:ascii="仿宋_GB2312" w:hAnsi="宋体" w:eastAsia="仿宋_GB2312"/>
          <w:sz w:val="32"/>
          <w:szCs w:val="32"/>
        </w:rPr>
        <w:t>图形。</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幻灯片页面外观的修饰，幻灯片上内容的动画效果，超级链接和动作设置，幻灯片切换，排练计时。</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播放和打印演示文稿，演示文稿的打包，将演示文稿转换为直接放映格式，广播幻灯片，演示文稿的网上发布。</w:t>
      </w:r>
    </w:p>
    <w:p>
      <w:pPr>
        <w:pStyle w:val="5"/>
        <w:spacing w:line="580" w:lineRule="exact"/>
        <w:ind w:firstLine="640"/>
        <w:rPr>
          <w:rFonts w:ascii="仿宋_GB2312" w:hAnsi="宋体" w:eastAsia="仿宋_GB2312"/>
          <w:sz w:val="32"/>
          <w:szCs w:val="32"/>
        </w:rPr>
      </w:pPr>
      <w:r>
        <w:rPr>
          <w:rFonts w:hint="eastAsia" w:ascii="楷体_GB2312" w:hAnsi="楷体_GB2312" w:eastAsia="楷体_GB2312" w:cs="楷体_GB2312"/>
          <w:sz w:val="32"/>
          <w:szCs w:val="32"/>
        </w:rPr>
        <w:t>（六）数据库管理系统与</w:t>
      </w:r>
      <w:r>
        <w:rPr>
          <w:rFonts w:ascii="楷体_GB2312" w:hAnsi="楷体_GB2312" w:eastAsia="楷体_GB2312" w:cs="楷体_GB2312"/>
          <w:sz w:val="32"/>
          <w:szCs w:val="32"/>
        </w:rPr>
        <w:t xml:space="preserve">Access 2010 </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有关数据库的基本概念，数据管理技术的发展，数据库系统的组成，数据模型关系数据库的基本概念及关系运算。</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数据库管理系统的概念及常见数据库管理系统，</w:t>
      </w:r>
      <w:r>
        <w:rPr>
          <w:rFonts w:ascii="仿宋_GB2312" w:hAnsi="宋体" w:eastAsia="仿宋_GB2312"/>
          <w:sz w:val="32"/>
          <w:szCs w:val="32"/>
        </w:rPr>
        <w:t xml:space="preserve">Access 2010 </w:t>
      </w:r>
      <w:r>
        <w:rPr>
          <w:rFonts w:hint="eastAsia" w:ascii="仿宋_GB2312" w:hAnsi="宋体" w:eastAsia="仿宋_GB2312"/>
          <w:sz w:val="32"/>
          <w:szCs w:val="32"/>
        </w:rPr>
        <w:t>数据库对象，数据库的基本操作，表的概念和基本操作。SQL基本语句的使用。</w:t>
      </w:r>
    </w:p>
    <w:p>
      <w:pPr>
        <w:pStyle w:val="5"/>
        <w:spacing w:line="58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（七）计算机网络基础与网页设计</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计算机网络的概念、发展趋势、组成、分类、功能，计算机网络新技术。</w:t>
      </w:r>
    </w:p>
    <w:p>
      <w:pPr>
        <w:pStyle w:val="5"/>
        <w:spacing w:line="580" w:lineRule="exact"/>
        <w:ind w:firstLine="640"/>
        <w:rPr>
          <w:rFonts w:ascii="仿宋_GB2312" w:hAnsi="宋体" w:eastAsia="仿宋_GB2312"/>
          <w:sz w:val="32"/>
          <w:szCs w:val="32"/>
        </w:rPr>
      </w:pPr>
      <w:r>
        <w:rPr>
          <w:rFonts w:ascii="仿宋_GB2312" w:hAnsi="宋体" w:eastAsia="仿宋_GB2312"/>
          <w:sz w:val="32"/>
          <w:szCs w:val="32"/>
        </w:rPr>
        <w:t xml:space="preserve">Internet </w:t>
      </w:r>
      <w:r>
        <w:rPr>
          <w:rFonts w:hint="eastAsia" w:ascii="仿宋_GB2312" w:hAnsi="宋体" w:eastAsia="仿宋_GB2312"/>
          <w:sz w:val="32"/>
          <w:szCs w:val="32"/>
        </w:rPr>
        <w:t>的起源及发展，接入</w:t>
      </w:r>
      <w:r>
        <w:rPr>
          <w:rFonts w:ascii="仿宋_GB2312" w:hAnsi="宋体" w:eastAsia="仿宋_GB2312"/>
          <w:sz w:val="32"/>
          <w:szCs w:val="32"/>
        </w:rPr>
        <w:t xml:space="preserve">Internet </w:t>
      </w:r>
      <w:r>
        <w:rPr>
          <w:rFonts w:hint="eastAsia" w:ascii="仿宋_GB2312" w:hAnsi="宋体" w:eastAsia="仿宋_GB2312"/>
          <w:sz w:val="32"/>
          <w:szCs w:val="32"/>
        </w:rPr>
        <w:t>的常用方式，</w:t>
      </w:r>
      <w:r>
        <w:rPr>
          <w:rFonts w:ascii="仿宋_GB2312" w:hAnsi="宋体" w:eastAsia="仿宋_GB2312"/>
          <w:sz w:val="32"/>
          <w:szCs w:val="32"/>
        </w:rPr>
        <w:t xml:space="preserve">Internet </w:t>
      </w:r>
      <w:r>
        <w:rPr>
          <w:rFonts w:hint="eastAsia" w:ascii="仿宋_GB2312" w:hAnsi="宋体" w:eastAsia="仿宋_GB2312"/>
          <w:sz w:val="32"/>
          <w:szCs w:val="32"/>
        </w:rPr>
        <w:t>的</w:t>
      </w:r>
      <w:r>
        <w:rPr>
          <w:rFonts w:ascii="仿宋_GB2312" w:hAnsi="宋体" w:eastAsia="仿宋_GB2312"/>
          <w:sz w:val="32"/>
          <w:szCs w:val="32"/>
        </w:rPr>
        <w:t xml:space="preserve">IP </w:t>
      </w:r>
      <w:r>
        <w:rPr>
          <w:rFonts w:hint="eastAsia" w:ascii="仿宋_GB2312" w:hAnsi="宋体" w:eastAsia="仿宋_GB2312"/>
          <w:sz w:val="32"/>
          <w:szCs w:val="32"/>
        </w:rPr>
        <w:t>地址及域名系统，</w:t>
      </w:r>
      <w:r>
        <w:rPr>
          <w:rFonts w:ascii="仿宋_GB2312" w:hAnsi="宋体" w:eastAsia="仿宋_GB2312"/>
          <w:sz w:val="32"/>
          <w:szCs w:val="32"/>
        </w:rPr>
        <w:t>WWW</w:t>
      </w:r>
      <w:r>
        <w:rPr>
          <w:rFonts w:hint="eastAsia" w:ascii="仿宋_GB2312" w:hAnsi="宋体" w:eastAsia="仿宋_GB2312"/>
          <w:sz w:val="32"/>
          <w:szCs w:val="32"/>
        </w:rPr>
        <w:t>的基本概念和工作原理，使用</w:t>
      </w:r>
      <w:r>
        <w:rPr>
          <w:rFonts w:ascii="仿宋_GB2312" w:hAnsi="宋体" w:eastAsia="仿宋_GB2312"/>
          <w:sz w:val="32"/>
          <w:szCs w:val="32"/>
        </w:rPr>
        <w:t xml:space="preserve">IE </w:t>
      </w:r>
      <w:r>
        <w:rPr>
          <w:rFonts w:hint="eastAsia" w:ascii="仿宋_GB2312" w:hAnsi="宋体" w:eastAsia="仿宋_GB2312"/>
          <w:sz w:val="32"/>
          <w:szCs w:val="32"/>
        </w:rPr>
        <w:t>浏览器，电子邮件服务。</w:t>
      </w:r>
      <w:r>
        <w:rPr>
          <w:rFonts w:ascii="仿宋_GB2312" w:hAnsi="宋体" w:eastAsia="仿宋_GB2312"/>
          <w:sz w:val="32"/>
          <w:szCs w:val="32"/>
        </w:rPr>
        <w:t xml:space="preserve">Internet </w:t>
      </w:r>
      <w:r>
        <w:rPr>
          <w:rFonts w:hint="eastAsia" w:ascii="仿宋_GB2312" w:hAnsi="宋体" w:eastAsia="仿宋_GB2312"/>
          <w:sz w:val="32"/>
          <w:szCs w:val="32"/>
        </w:rPr>
        <w:t>的其他服务：文件传输</w:t>
      </w:r>
      <w:r>
        <w:rPr>
          <w:rFonts w:ascii="仿宋_GB2312" w:hAnsi="宋体" w:eastAsia="仿宋_GB2312"/>
          <w:sz w:val="32"/>
          <w:szCs w:val="32"/>
        </w:rPr>
        <w:t>FTP</w:t>
      </w:r>
      <w:r>
        <w:rPr>
          <w:rFonts w:hint="eastAsia" w:ascii="仿宋_GB2312" w:hAnsi="宋体" w:eastAsia="仿宋_GB2312"/>
          <w:sz w:val="32"/>
          <w:szCs w:val="32"/>
        </w:rPr>
        <w:t>、远程登录</w:t>
      </w:r>
      <w:r>
        <w:rPr>
          <w:rFonts w:ascii="仿宋_GB2312" w:hAnsi="宋体" w:eastAsia="仿宋_GB2312"/>
          <w:sz w:val="32"/>
          <w:szCs w:val="32"/>
        </w:rPr>
        <w:t>Telnet</w:t>
      </w:r>
      <w:r>
        <w:rPr>
          <w:rFonts w:hint="eastAsia" w:ascii="仿宋_GB2312" w:hAnsi="宋体" w:eastAsia="仿宋_GB2312"/>
          <w:sz w:val="32"/>
          <w:szCs w:val="32"/>
        </w:rPr>
        <w:t>、即时通信、网络音乐、搜索引擎的使用、流媒体应用、网络视频及文档下载的方法。</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网站与网页的概念，</w:t>
      </w:r>
      <w:r>
        <w:rPr>
          <w:rFonts w:ascii="仿宋_GB2312" w:hAnsi="宋体" w:eastAsia="仿宋_GB2312"/>
          <w:sz w:val="32"/>
          <w:szCs w:val="32"/>
        </w:rPr>
        <w:t xml:space="preserve">Web </w:t>
      </w:r>
      <w:r>
        <w:rPr>
          <w:rFonts w:hint="eastAsia" w:ascii="仿宋_GB2312" w:hAnsi="宋体" w:eastAsia="仿宋_GB2312"/>
          <w:sz w:val="32"/>
          <w:szCs w:val="32"/>
        </w:rPr>
        <w:t>服务器与浏览器，网页内容，动态网页和静态网页，常用网页制作工具，网页设计的相关计算机语言，</w:t>
      </w:r>
      <w:r>
        <w:rPr>
          <w:rFonts w:ascii="仿宋_GB2312" w:hAnsi="宋体" w:eastAsia="仿宋_GB2312"/>
          <w:sz w:val="32"/>
          <w:szCs w:val="32"/>
        </w:rPr>
        <w:t>HTML</w:t>
      </w:r>
      <w:r>
        <w:rPr>
          <w:rFonts w:hint="eastAsia" w:ascii="仿宋_GB2312" w:hAnsi="宋体" w:eastAsia="仿宋_GB2312"/>
          <w:sz w:val="32"/>
          <w:szCs w:val="32"/>
        </w:rPr>
        <w:t>语言的基本概念、常用</w:t>
      </w:r>
      <w:r>
        <w:rPr>
          <w:rFonts w:ascii="仿宋_GB2312" w:hAnsi="宋体" w:eastAsia="仿宋_GB2312"/>
          <w:sz w:val="32"/>
          <w:szCs w:val="32"/>
        </w:rPr>
        <w:t>HTML</w:t>
      </w:r>
      <w:r>
        <w:rPr>
          <w:rFonts w:hint="eastAsia" w:ascii="仿宋_GB2312" w:hAnsi="宋体" w:eastAsia="仿宋_GB2312"/>
          <w:sz w:val="32"/>
          <w:szCs w:val="32"/>
        </w:rPr>
        <w:t>标记的意义和语法。</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使用</w:t>
      </w:r>
      <w:r>
        <w:rPr>
          <w:rFonts w:ascii="仿宋_GB2312" w:hAnsi="宋体" w:eastAsia="仿宋_GB2312"/>
          <w:sz w:val="32"/>
          <w:szCs w:val="32"/>
        </w:rPr>
        <w:t xml:space="preserve">Dreamweaver </w:t>
      </w:r>
      <w:r>
        <w:rPr>
          <w:rFonts w:hint="eastAsia" w:ascii="仿宋_GB2312" w:hAnsi="宋体" w:eastAsia="仿宋_GB2312"/>
          <w:sz w:val="32"/>
          <w:szCs w:val="32"/>
        </w:rPr>
        <w:t>创建与管理站点。使用</w:t>
      </w:r>
      <w:r>
        <w:rPr>
          <w:rFonts w:ascii="仿宋_GB2312" w:hAnsi="宋体" w:eastAsia="仿宋_GB2312"/>
          <w:sz w:val="32"/>
          <w:szCs w:val="32"/>
        </w:rPr>
        <w:t xml:space="preserve">Dreamweaver </w:t>
      </w:r>
      <w:r>
        <w:rPr>
          <w:rFonts w:hint="eastAsia" w:ascii="仿宋_GB2312" w:hAnsi="宋体" w:eastAsia="仿宋_GB2312"/>
          <w:sz w:val="32"/>
          <w:szCs w:val="32"/>
        </w:rPr>
        <w:t>编辑网页：文字编辑及格式化，图像的插入与编辑，媒体对象的插入，创建超链接。使用</w:t>
      </w:r>
      <w:r>
        <w:rPr>
          <w:rFonts w:ascii="仿宋_GB2312" w:hAnsi="宋体" w:eastAsia="仿宋_GB2312"/>
          <w:sz w:val="32"/>
          <w:szCs w:val="32"/>
        </w:rPr>
        <w:t>Dreamweaver</w:t>
      </w:r>
      <w:r>
        <w:rPr>
          <w:rFonts w:hint="eastAsia" w:ascii="仿宋_GB2312" w:hAnsi="宋体" w:eastAsia="仿宋_GB2312"/>
          <w:sz w:val="32"/>
          <w:szCs w:val="32"/>
        </w:rPr>
        <w:t>进行网页布局，创建表单页面，网页的发布。</w:t>
      </w:r>
    </w:p>
    <w:p>
      <w:pPr>
        <w:pStyle w:val="5"/>
        <w:spacing w:line="58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（八）多媒体技术基础知识</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多媒体技术的概念，多媒体技术的特点，多媒体技术中的媒体元素。多媒体计算机系统的组成。音频处理技术、图像处理技术和视频处理技术。虚拟现实和流媒体，多媒体技术的应用领域。</w:t>
      </w:r>
    </w:p>
    <w:p>
      <w:pPr>
        <w:pStyle w:val="5"/>
        <w:spacing w:line="58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（九）信息安全</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信息安全的基本知识，网络礼仪与道德。计算机犯罪、计算机病毒、黑客。常用的信息安全技术，防火墙的概念、类型、体系结构。</w:t>
      </w:r>
      <w:r>
        <w:rPr>
          <w:rFonts w:ascii="仿宋_GB2312" w:hAnsi="宋体" w:eastAsia="仿宋_GB2312"/>
          <w:sz w:val="32"/>
          <w:szCs w:val="32"/>
        </w:rPr>
        <w:t xml:space="preserve">Windows 7 </w:t>
      </w:r>
      <w:r>
        <w:rPr>
          <w:rFonts w:hint="eastAsia" w:ascii="仿宋_GB2312" w:hAnsi="宋体" w:eastAsia="仿宋_GB2312"/>
          <w:sz w:val="32"/>
          <w:szCs w:val="32"/>
        </w:rPr>
        <w:t>操作系统安全，无线局域网安全，电子商务和电子政务安全。信息安全政策与法规。</w:t>
      </w:r>
    </w:p>
    <w:p>
      <w:pPr>
        <w:spacing w:beforeLines="50" w:line="580" w:lineRule="exact"/>
        <w:ind w:firstLine="640" w:firstLineChars="200"/>
        <w:rPr>
          <w:rFonts w:ascii="黑体" w:hAnsi="黑体" w:eastAsia="黑体" w:cs="黑体"/>
          <w:sz w:val="32"/>
          <w:szCs w:val="32"/>
        </w:rPr>
      </w:pPr>
      <w:r>
        <w:rPr>
          <w:rFonts w:hint="eastAsia" w:ascii="黑体" w:hAnsi="黑体" w:eastAsia="黑体" w:cs="黑体"/>
          <w:sz w:val="32"/>
          <w:szCs w:val="32"/>
        </w:rPr>
        <w:t>四、考试形式与试卷结构</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考试形式：采用闭卷、笔试形式。考试限定用时为120分钟。</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试卷结构：单项选择题、多项选择题、判断题和填空题，满分100分。</w:t>
      </w:r>
    </w:p>
    <w:tbl>
      <w:tblPr>
        <w:tblStyle w:val="14"/>
        <w:tblW w:w="568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693"/>
        <w:gridCol w:w="19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693"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题  型</w:t>
            </w:r>
          </w:p>
        </w:tc>
        <w:tc>
          <w:tcPr>
            <w:tcW w:w="1991"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693"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单项选择题50题</w:t>
            </w:r>
          </w:p>
        </w:tc>
        <w:tc>
          <w:tcPr>
            <w:tcW w:w="1991"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50分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693"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多项选择题20题</w:t>
            </w:r>
          </w:p>
        </w:tc>
        <w:tc>
          <w:tcPr>
            <w:tcW w:w="1991"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20分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693"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判断题20题</w:t>
            </w:r>
          </w:p>
        </w:tc>
        <w:tc>
          <w:tcPr>
            <w:tcW w:w="1991"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10分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693"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填空题20题</w:t>
            </w:r>
          </w:p>
        </w:tc>
        <w:tc>
          <w:tcPr>
            <w:tcW w:w="1991" w:type="dxa"/>
            <w:vAlign w:val="center"/>
          </w:tcPr>
          <w:p>
            <w:pPr>
              <w:spacing w:line="400" w:lineRule="exact"/>
              <w:jc w:val="center"/>
              <w:rPr>
                <w:rFonts w:ascii="仿宋_GB2312" w:hAnsi="宋体" w:eastAsia="仿宋_GB2312"/>
                <w:sz w:val="28"/>
                <w:szCs w:val="28"/>
              </w:rPr>
            </w:pPr>
            <w:r>
              <w:rPr>
                <w:rFonts w:hint="eastAsia" w:ascii="仿宋_GB2312" w:hAnsi="宋体" w:eastAsia="仿宋_GB2312"/>
                <w:sz w:val="28"/>
                <w:szCs w:val="28"/>
              </w:rPr>
              <w:t>20分</w:t>
            </w:r>
          </w:p>
        </w:tc>
      </w:tr>
    </w:tbl>
    <w:p>
      <w:pPr>
        <w:spacing w:beforeLines="50" w:line="580" w:lineRule="exact"/>
        <w:ind w:firstLine="640" w:firstLineChars="200"/>
        <w:rPr>
          <w:rFonts w:ascii="黑体" w:hAnsi="黑体" w:eastAsia="黑体" w:cs="黑体"/>
          <w:sz w:val="32"/>
          <w:szCs w:val="32"/>
        </w:rPr>
      </w:pPr>
      <w:r>
        <w:rPr>
          <w:rFonts w:hint="eastAsia" w:ascii="黑体" w:hAnsi="黑体" w:eastAsia="黑体" w:cs="黑体"/>
          <w:sz w:val="32"/>
          <w:szCs w:val="32"/>
        </w:rPr>
        <w:t>五、参考教材</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《计算机文化基础》（高职高专版</w:t>
      </w:r>
      <w:r>
        <w:rPr>
          <w:rFonts w:hint="eastAsia" w:ascii="仿宋" w:hAnsi="仿宋" w:eastAsia="仿宋"/>
          <w:sz w:val="32"/>
          <w:szCs w:val="32"/>
        </w:rPr>
        <w:t>·</w:t>
      </w:r>
      <w:r>
        <w:rPr>
          <w:rFonts w:hint="eastAsia" w:ascii="仿宋_GB2312" w:hAnsi="宋体" w:eastAsia="仿宋_GB2312"/>
          <w:sz w:val="32"/>
          <w:szCs w:val="32"/>
        </w:rPr>
        <w:t>第十版）</w:t>
      </w:r>
    </w:p>
    <w:p>
      <w:pPr>
        <w:pStyle w:val="5"/>
        <w:spacing w:line="580" w:lineRule="exact"/>
        <w:ind w:firstLine="640"/>
        <w:rPr>
          <w:rFonts w:ascii="仿宋_GB2312" w:hAnsi="黑体" w:eastAsia="仿宋_GB2312" w:cs="黑体"/>
          <w:sz w:val="32"/>
          <w:szCs w:val="32"/>
        </w:rPr>
      </w:pPr>
      <w:r>
        <w:rPr>
          <w:rFonts w:hint="eastAsia" w:ascii="仿宋_GB2312" w:hAnsi="黑体" w:eastAsia="仿宋_GB2312" w:cs="黑体"/>
          <w:sz w:val="32"/>
          <w:szCs w:val="32"/>
        </w:rPr>
        <w:t>中国石油大学出版社</w:t>
      </w:r>
    </w:p>
    <w:p>
      <w:pPr>
        <w:pStyle w:val="5"/>
        <w:spacing w:line="580" w:lineRule="exact"/>
        <w:ind w:firstLine="640"/>
        <w:rPr>
          <w:rFonts w:ascii="仿宋_GB2312" w:hAnsi="黑体" w:eastAsia="仿宋_GB2312" w:cs="黑体"/>
          <w:sz w:val="32"/>
          <w:szCs w:val="32"/>
        </w:rPr>
      </w:pPr>
      <w:r>
        <w:rPr>
          <w:rFonts w:hint="eastAsia" w:ascii="仿宋_GB2312" w:hAnsi="宋体" w:eastAsia="仿宋_GB2312"/>
          <w:sz w:val="32"/>
          <w:szCs w:val="32"/>
        </w:rPr>
        <w:t>《计算机文化基础实验教程》（高职高专版</w:t>
      </w:r>
      <w:r>
        <w:rPr>
          <w:rFonts w:hint="eastAsia" w:ascii="仿宋" w:hAnsi="仿宋" w:eastAsia="仿宋"/>
          <w:sz w:val="32"/>
          <w:szCs w:val="32"/>
        </w:rPr>
        <w:t>·</w:t>
      </w:r>
      <w:r>
        <w:rPr>
          <w:rFonts w:hint="eastAsia" w:ascii="仿宋_GB2312" w:hAnsi="宋体" w:eastAsia="仿宋_GB2312"/>
          <w:sz w:val="32"/>
          <w:szCs w:val="32"/>
        </w:rPr>
        <w:t>第十版）</w:t>
      </w:r>
    </w:p>
    <w:p>
      <w:pPr>
        <w:pStyle w:val="5"/>
        <w:spacing w:line="580" w:lineRule="exact"/>
        <w:ind w:firstLine="640"/>
        <w:rPr>
          <w:rFonts w:ascii="仿宋_GB2312" w:hAnsi="黑体" w:eastAsia="仿宋_GB2312" w:cs="黑体"/>
          <w:sz w:val="32"/>
          <w:szCs w:val="32"/>
        </w:rPr>
      </w:pPr>
      <w:r>
        <w:rPr>
          <w:rFonts w:hint="eastAsia" w:ascii="仿宋_GB2312" w:hAnsi="黑体" w:eastAsia="仿宋_GB2312" w:cs="黑体"/>
          <w:sz w:val="32"/>
          <w:szCs w:val="32"/>
        </w:rPr>
        <w:t>中国石油大学出版社</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《计算机文化基础》（高职高专版</w:t>
      </w:r>
      <w:r>
        <w:rPr>
          <w:rFonts w:hint="eastAsia" w:ascii="仿宋" w:hAnsi="仿宋" w:eastAsia="仿宋"/>
          <w:sz w:val="32"/>
          <w:szCs w:val="32"/>
        </w:rPr>
        <w:t>·</w:t>
      </w:r>
      <w:r>
        <w:rPr>
          <w:rFonts w:hint="eastAsia" w:ascii="仿宋_GB2312" w:hAnsi="宋体" w:eastAsia="仿宋_GB2312"/>
          <w:sz w:val="32"/>
          <w:szCs w:val="32"/>
        </w:rPr>
        <w:t>第十一版）</w:t>
      </w:r>
    </w:p>
    <w:p>
      <w:pPr>
        <w:pStyle w:val="5"/>
        <w:spacing w:line="580" w:lineRule="exact"/>
        <w:ind w:firstLine="640"/>
        <w:rPr>
          <w:rFonts w:ascii="仿宋_GB2312" w:hAnsi="黑体" w:eastAsia="仿宋_GB2312" w:cs="黑体"/>
          <w:sz w:val="32"/>
          <w:szCs w:val="32"/>
        </w:rPr>
      </w:pPr>
      <w:r>
        <w:rPr>
          <w:rFonts w:hint="eastAsia" w:ascii="仿宋_GB2312" w:hAnsi="黑体" w:eastAsia="仿宋_GB2312" w:cs="黑体"/>
          <w:sz w:val="32"/>
          <w:szCs w:val="32"/>
        </w:rPr>
        <w:t>中国石油大学出版社</w:t>
      </w:r>
    </w:p>
    <w:p>
      <w:pPr>
        <w:pStyle w:val="5"/>
        <w:spacing w:line="580" w:lineRule="exact"/>
        <w:ind w:firstLine="640"/>
        <w:rPr>
          <w:rFonts w:ascii="仿宋_GB2312" w:hAnsi="宋体" w:eastAsia="仿宋_GB2312"/>
          <w:sz w:val="32"/>
          <w:szCs w:val="32"/>
        </w:rPr>
      </w:pPr>
      <w:r>
        <w:rPr>
          <w:rFonts w:hint="eastAsia" w:ascii="仿宋_GB2312" w:hAnsi="宋体" w:eastAsia="仿宋_GB2312"/>
          <w:sz w:val="32"/>
          <w:szCs w:val="32"/>
        </w:rPr>
        <w:t>《计算机文化基础实验教程》（高职高专版</w:t>
      </w:r>
      <w:r>
        <w:rPr>
          <w:rFonts w:hint="eastAsia" w:ascii="仿宋" w:hAnsi="仿宋" w:eastAsia="仿宋"/>
          <w:sz w:val="32"/>
          <w:szCs w:val="32"/>
        </w:rPr>
        <w:t>·</w:t>
      </w:r>
      <w:r>
        <w:rPr>
          <w:rFonts w:hint="eastAsia" w:ascii="仿宋_GB2312" w:hAnsi="宋体" w:eastAsia="仿宋_GB2312"/>
          <w:sz w:val="32"/>
          <w:szCs w:val="32"/>
        </w:rPr>
        <w:t>第十一版）</w:t>
      </w:r>
    </w:p>
    <w:p>
      <w:pPr>
        <w:pStyle w:val="5"/>
        <w:spacing w:line="580" w:lineRule="exact"/>
        <w:ind w:firstLine="640"/>
        <w:rPr>
          <w:rFonts w:ascii="仿宋_GB2312" w:hAnsi="黑体" w:eastAsia="仿宋_GB2312" w:cs="黑体"/>
          <w:sz w:val="32"/>
          <w:szCs w:val="32"/>
        </w:rPr>
      </w:pPr>
      <w:r>
        <w:rPr>
          <w:rFonts w:hint="eastAsia" w:ascii="仿宋_GB2312" w:hAnsi="黑体" w:eastAsia="仿宋_GB2312" w:cs="黑体"/>
          <w:sz w:val="32"/>
          <w:szCs w:val="32"/>
        </w:rPr>
        <w:t>中国石油大学出版社</w:t>
      </w:r>
    </w:p>
    <w:p>
      <w:pPr>
        <w:pStyle w:val="5"/>
        <w:spacing w:line="580" w:lineRule="exact"/>
        <w:ind w:firstLine="640"/>
        <w:rPr>
          <w:rFonts w:ascii="仿宋_GB2312" w:hAnsi="宋体" w:eastAsia="仿宋_GB2312"/>
          <w:sz w:val="32"/>
          <w:szCs w:val="32"/>
        </w:rPr>
      </w:pPr>
    </w:p>
    <w:p>
      <w:pPr>
        <w:pStyle w:val="5"/>
        <w:spacing w:line="580" w:lineRule="exact"/>
        <w:ind w:firstLine="640"/>
        <w:rPr>
          <w:rFonts w:ascii="仿宋_GB2312" w:hAnsi="宋体" w:eastAsia="仿宋_GB2312"/>
          <w:sz w:val="32"/>
          <w:szCs w:val="32"/>
        </w:rPr>
      </w:pPr>
    </w:p>
    <w:p>
      <w:pPr>
        <w:pStyle w:val="5"/>
        <w:spacing w:line="580" w:lineRule="exact"/>
        <w:ind w:firstLine="640"/>
        <w:rPr>
          <w:rFonts w:ascii="仿宋_GB2312" w:hAnsi="宋体" w:eastAsia="仿宋_GB2312"/>
          <w:sz w:val="32"/>
          <w:szCs w:val="32"/>
        </w:rPr>
      </w:pPr>
    </w:p>
    <w:p>
      <w:pPr>
        <w:spacing w:line="500" w:lineRule="exact"/>
        <w:rPr>
          <w:rFonts w:ascii="黑体" w:hAnsi="黑体" w:eastAsia="黑体"/>
          <w:sz w:val="32"/>
          <w:szCs w:val="32"/>
        </w:rPr>
      </w:pPr>
      <w:r>
        <w:rPr>
          <w:rFonts w:ascii="汉仪中黑简" w:hAnsi="宋体" w:eastAsia="汉仪中黑简"/>
          <w:sz w:val="32"/>
          <w:szCs w:val="32"/>
        </w:rPr>
        <w:br w:type="page"/>
      </w:r>
      <w:r>
        <w:rPr>
          <w:rFonts w:hint="eastAsia" w:ascii="黑体" w:hAnsi="黑体" w:eastAsia="黑体"/>
          <w:sz w:val="32"/>
          <w:szCs w:val="32"/>
        </w:rPr>
        <w:t>附件4</w:t>
      </w:r>
    </w:p>
    <w:p>
      <w:pPr>
        <w:spacing w:line="580" w:lineRule="exact"/>
        <w:jc w:val="center"/>
        <w:rPr>
          <w:rFonts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山东省2019年普通高等教育专升本</w:t>
      </w:r>
    </w:p>
    <w:p>
      <w:pPr>
        <w:pStyle w:val="6"/>
        <w:spacing w:line="580" w:lineRule="exact"/>
        <w:ind w:firstLine="864"/>
        <w:jc w:val="center"/>
        <w:rPr>
          <w:rFonts w:ascii="方正小标宋简体" w:hAnsi="黑体" w:eastAsia="方正小标宋简体"/>
          <w:spacing w:val="-4"/>
          <w:sz w:val="44"/>
          <w:szCs w:val="44"/>
        </w:rPr>
      </w:pPr>
      <w:r>
        <w:rPr>
          <w:rFonts w:hint="eastAsia" w:ascii="方正小标宋简体" w:hAnsi="方正小标宋简体" w:eastAsia="方正小标宋简体" w:cs="方正小标宋简体"/>
          <w:spacing w:val="-4"/>
          <w:sz w:val="44"/>
          <w:szCs w:val="44"/>
        </w:rPr>
        <w:t>大学语文（公共课）考试要求</w:t>
      </w:r>
    </w:p>
    <w:p>
      <w:pPr>
        <w:spacing w:line="580" w:lineRule="exact"/>
        <w:ind w:firstLine="640" w:firstLineChars="200"/>
        <w:rPr>
          <w:rFonts w:ascii="汉仪中黑简" w:hAnsi="宋体" w:eastAsia="汉仪中黑简"/>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（一）学习古今中外的名家名作，了解文化的多样性、丰富性，尤其应当了解并继承中华民族的优秀文化传统，培养高尚的思想品质和道德情操，提高大学生的语文能力和综合人文素养。</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（二）能准确地阅读、理解现当代作品，能读懂难度适中的文言文，并能解释常见的字词和语言现象, 具备较好的阅读理解能力。</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（三）能够比较准确地分析文章的思想内容和写作手法，具备一定的文学鉴赏水平和综合分析能力。</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（四）掌握常用的文体写作知识，具备较高的写作能力。</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二、内容范围和要求</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大学语文课程的考试内容，包括语言知识、作家作品知识、文体知识、写作知识、作品阅读分析和作文六部分。其具体内容和要求如下：</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（一）语言知识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语言知识侧重于文言实词、虚词、句式。文言实词考核，要求考生能解释文言文中常用实词的意义，特别要注意那些古今意义有所不同的词语，掌握实词中的词类活用现象（如使动用法、意动用法、名词作状语、名词用作动词等）；文言虚词考核，要求考生能辩识“之、其、者、所、以、于、而、乃、则、焉”等常见的文言虚词在不同语言环境中的不同含义或作用；文言句式考核，要求考生能够分辨和掌握判断句、被动句、倒序句等特殊句式的用法。</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（二）作家作品知识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作家作品知识侧重于考核作者的姓名、生活年代、生平事迹、思想主张、文学流派、主要成就、历史地位和影响等方面内容。</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（三）文体知识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文体知识侧重于议论文、记叙文、诗歌、小说和戏剧的文体特征及主要表现手法。</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（四）写作知识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写作知识侧重于立意与选材、构思与布局、文体与表述、语言与风格、修改与文风等方面内容。</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（五）作品阅读分析</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作品阅读分析侧重于以下方面的内容：每篇课文的作者和文体类别；课文的主题或主旨、思想意义；课文的主要表现手法、写作特色；课文中使用的主要修辞手法，如比喻、比拟、排比、对偶、象征、设问、反诘、反语、层递等手法的特点和作用；课文中常见的各类表现手法，如对比、铺垫、侧面烘托、夹叙夹议、语义双关、托物言志等手法的特点和作用；课文中引用典故、诗文等的解释或出处；课文中关键字词的含义或表达作用等。</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（六）作文</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作文主要是考核应考者的写作能力，也是对应考者知识阅历、思想修养、认识能力和语文水平的综合检验。</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作文考核的重点是议论文、记叙文写作的能力。</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作文考核的基本要求是：思想健康，内容充实，中心明确，条理清楚，结构完整，语言通顺，表达准确，标点恰当，书写工整，格式规范。</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三、考试题型</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大学语文课程的考试题型主要有：单项选择题、多项选择题、词语解释题、填空题、文言短句翻译题、简答题、简析题、作文题。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阅读篇目可参考现行使用教材的课文。</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记叙文单元：</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1.《郑伯克段于鄢》（《左传》）</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2.《燕昭王求士》（《战国策》）</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3.《管晏列传》（《史记》）</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4.《苏武传》（《汉书》）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5.《又是一年芳草绿》（老舍）</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6.《听听那冷雨》（余光中）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7.《怀念萧珊》（巴金）</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8.《洞庭一角》（余秋雨）</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9.《读书示小妹十八生日书》（贾平凹）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议论文单元：</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10.先秦诸子语录（《论语》等）</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11.《谏逐客书》（李斯）</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12.《驳&lt;复仇议&gt;》（柳宗元）</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13.《留侯论》（苏轼）</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14.《赠与今年的大学毕业生》（胡适）</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15.《文学的趣味》（朱光潜）</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16.《失败了以后》（林语堂）</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17.《论言谈》（培根）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诗歌单元： </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18.《采薇》（《诗经》）</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19.《渔夫》（屈原）</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20.《春江花月夜》（张若虚）</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21.《蜀道难》（李白）</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22.《长恨歌》（白居易）</w:t>
      </w:r>
    </w:p>
    <w:p>
      <w:pPr>
        <w:spacing w:line="580" w:lineRule="exact"/>
        <w:rPr>
          <w:rFonts w:ascii="仿宋_GB2312" w:hAnsi="仿宋" w:eastAsia="仿宋_GB2312"/>
          <w:sz w:val="32"/>
          <w:szCs w:val="32"/>
        </w:rPr>
      </w:pPr>
      <w:r>
        <w:rPr>
          <w:rFonts w:hint="eastAsia" w:ascii="仿宋_GB2312" w:hAnsi="仿宋" w:eastAsia="仿宋_GB2312"/>
          <w:sz w:val="32"/>
          <w:szCs w:val="32"/>
        </w:rPr>
        <w:t xml:space="preserve">    23.《醉花阴》（李清照）</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24.《天狗》（郭沫若）</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25.《雨巷》（戴望舒）</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26.《光的赞歌》（艾青）</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27.《西风颂》（雪莱）</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小说戏剧单元：</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28.《游园（选）》（汤显祖）</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29.《席方平》（蒲松龄）</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30.《伤逝》（鲁迅）</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31.《围城（选）》（钱钟书）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32.《春之声》（王蒙）</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33.《老人与海（选）》（海明威）</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34.《赫克托耳之死（选）》（荷马）</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35.《哈姆雷特（选）》（莎士比亚）</w:t>
      </w:r>
    </w:p>
    <w:p>
      <w:pPr>
        <w:spacing w:line="580" w:lineRule="exact"/>
        <w:rPr>
          <w:rFonts w:ascii="黑体" w:hAnsi="仿宋" w:eastAsia="黑体"/>
          <w:spacing w:val="-4"/>
          <w:sz w:val="32"/>
          <w:szCs w:val="32"/>
        </w:rPr>
      </w:pPr>
    </w:p>
    <w:p>
      <w:pPr>
        <w:spacing w:line="500" w:lineRule="exact"/>
        <w:rPr>
          <w:rFonts w:ascii="黑体" w:hAnsi="黑体" w:eastAsia="黑体"/>
          <w:sz w:val="32"/>
          <w:szCs w:val="32"/>
        </w:rPr>
      </w:pPr>
      <w:r>
        <w:rPr>
          <w:rFonts w:ascii="汉仪中黑简" w:hAnsi="宋体" w:eastAsia="汉仪中黑简"/>
          <w:sz w:val="32"/>
          <w:szCs w:val="32"/>
        </w:rPr>
        <w:br w:type="page"/>
      </w:r>
      <w:r>
        <w:rPr>
          <w:rFonts w:hint="eastAsia" w:ascii="黑体" w:hAnsi="黑体" w:eastAsia="黑体"/>
          <w:sz w:val="32"/>
          <w:szCs w:val="32"/>
        </w:rPr>
        <w:t>附件5</w:t>
      </w:r>
    </w:p>
    <w:p>
      <w:pPr>
        <w:spacing w:line="580" w:lineRule="exact"/>
        <w:jc w:val="center"/>
        <w:rPr>
          <w:rFonts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山东省2019年普通高等教育专升本</w:t>
      </w:r>
    </w:p>
    <w:p>
      <w:pPr>
        <w:adjustRightInd w:val="0"/>
        <w:snapToGrid w:val="0"/>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4"/>
          <w:sz w:val="44"/>
          <w:szCs w:val="44"/>
        </w:rPr>
        <w:t>高等数学（公共课）考试要求</w:t>
      </w:r>
    </w:p>
    <w:p>
      <w:pPr>
        <w:spacing w:line="580" w:lineRule="exact"/>
        <w:ind w:firstLine="640" w:firstLineChars="200"/>
        <w:rPr>
          <w:rFonts w:ascii="仿宋_GB2312" w:hAnsi="仿宋" w:eastAsia="仿宋_GB2312"/>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一、总体要求</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考生应了解或理解“高等数学”中函数、极限和连续、一元函数微分学、一元函数积分学、向量代数与空间解析几何、多元函数微积分学、无穷级数、常微分方程的基本概念与基本理论；学会、掌握或熟练掌握上述各部分的基本方法。应注意各部分知识的结构及知识的内在联系；应具有一定的抽象思维能力、逻辑推理能力、运算能力、空间想象能力；有运用基本概念、基本理论和基本方法正确地推理证明，准确地计算的能力；能综合运用所学知识分析并解决简单的实际问题。</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二、内容范围和要求</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（一）函数、极限和连续</w:t>
      </w:r>
    </w:p>
    <w:p>
      <w:pPr>
        <w:spacing w:line="58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1.函数</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（1）理解函数的概念：函数的定义，函数的表示法，分段函数。</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（2）理解和掌握函数的简单性质：单调性，奇偶性，有界性，周期性。</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（3）了解反函数：反函数的定义，反函数的图象。</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（4）掌握函数的四则运算与复合运算。</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（5）理解和掌握基本初等函数：幂函数，指数函数，对数函数，三角函数，反三角函数。</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（6）了解初等函数的概念。</w:t>
      </w:r>
    </w:p>
    <w:p>
      <w:pPr>
        <w:spacing w:line="580" w:lineRule="exact"/>
        <w:ind w:firstLine="640" w:firstLineChars="200"/>
        <w:rPr>
          <w:rFonts w:ascii="仿宋_GB2312" w:hAnsi="楷体_GB2312" w:eastAsia="仿宋_GB2312" w:cs="楷体_GB2312"/>
          <w:sz w:val="32"/>
          <w:szCs w:val="32"/>
        </w:rPr>
      </w:pPr>
      <w:r>
        <w:rPr>
          <w:rFonts w:hint="eastAsia" w:ascii="仿宋_GB2312" w:hAnsi="楷体_GB2312" w:eastAsia="仿宋_GB2312" w:cs="楷体_GB2312"/>
          <w:sz w:val="32"/>
          <w:szCs w:val="32"/>
        </w:rPr>
        <w:t>2.极限</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（1）理解数列极限的概念：数列，数列极限的定义，能根据极限概念分析函数的变化趋势。会求函数在一点处的左极限与右极限，了解函数在一点处极限存在的充分必要条件。</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（2）了解数列极限的性质：唯一性，有界性，四则运算定理，夹逼定理，单调有界数列，极限存在定理，掌握极限的四则运算法则。</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（3）理解函数极限的概念：函数在一点处极限的定义，左、右极限及其与极限的关系，x趋于无穷（x→∞，x→+∞，x→-∞）时函数的极限。</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（4）掌握函数极限的定理：唯一性定理，夹逼定理，四则运算定理。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（5）理解无穷小量和无穷大量：无穷小量与无穷大量的定义，无穷小量与无穷大量的关系，无穷小量与无穷大量的性质，两个无穷小量阶的比较。</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（6）熟练掌握用两个重要极限求极限的方法。</w:t>
      </w:r>
    </w:p>
    <w:p>
      <w:pPr>
        <w:spacing w:line="580" w:lineRule="exact"/>
        <w:ind w:firstLine="624" w:firstLineChars="200"/>
        <w:rPr>
          <w:rFonts w:ascii="仿宋_GB2312" w:hAnsi="仿宋" w:eastAsia="仿宋_GB2312"/>
          <w:spacing w:val="-4"/>
          <w:sz w:val="32"/>
          <w:szCs w:val="32"/>
        </w:rPr>
      </w:pPr>
      <w:r>
        <w:rPr>
          <w:rFonts w:hint="eastAsia" w:ascii="仿宋_GB2312" w:hAnsi="仿宋" w:eastAsia="仿宋_GB2312"/>
          <w:spacing w:val="-4"/>
          <w:sz w:val="32"/>
          <w:szCs w:val="32"/>
        </w:rPr>
        <w:t>3.连续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pacing w:val="-4"/>
          <w:sz w:val="32"/>
          <w:szCs w:val="32"/>
        </w:rPr>
        <w:t>理解函数连续的概念：函数在一点连续的定义，左连续和右连续，函数在一点连续的充分必要条件，函数的间断点及其分类。</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（2）掌握函数在一点处连续的性质：连续函数的四则运算，复合函数的连续性，反函数的连续性，会求函数的间断点及确定其类型。</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（3）掌握闭区间上连续函数的性质：有界性定理，最大值和最小值定理，介值定理（包括零点定理），会运用介值定理推证一些简单命题。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pacing w:val="-8"/>
          <w:sz w:val="32"/>
          <w:szCs w:val="32"/>
        </w:rPr>
        <w:t>理解初等函数在其定义区间上连续，并会利用连续性求极限。</w:t>
      </w:r>
    </w:p>
    <w:p>
      <w:pPr>
        <w:spacing w:line="580" w:lineRule="exact"/>
        <w:ind w:firstLine="640" w:firstLineChars="200"/>
        <w:rPr>
          <w:rFonts w:ascii="黑体" w:hAnsi="黑体" w:eastAsia="黑体" w:cs="黑体"/>
          <w:sz w:val="32"/>
          <w:szCs w:val="32"/>
        </w:rPr>
      </w:pPr>
      <w:r>
        <w:rPr>
          <w:rFonts w:hint="eastAsia" w:ascii="楷体_GB2312" w:hAnsi="楷体_GB2312" w:eastAsia="楷体_GB2312" w:cs="楷体_GB2312"/>
          <w:sz w:val="32"/>
          <w:szCs w:val="32"/>
        </w:rPr>
        <w:t>（二）一元函数微分学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1.导数与微分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（1）理解导数的概念及其几何意义，了解可导性与连续性的关系，会用定义求函数在一点处的导数。</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（2）会求曲线上一点处的切线方程与法线方程。</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（3）熟练掌握导数的基本公式、四则运算法则以及复合函数的求导方法。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（4）掌握隐函数的求导法、对数求导法以及由参数方程所确定的函数的求导方法，会求分段函数的导数。</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（5）理解高阶导数的概念，会求简单函数的n阶导数。</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（6）理解函数的微分概念，掌握微分法则，了解可微与可导的关系，会求函数的一阶微分。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2.中值定理及导数的应用</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（1）了解罗尔中值定理、拉格朗日中值定理及它们的几何意义。</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pacing w:val="-10"/>
          <w:sz w:val="32"/>
          <w:szCs w:val="32"/>
        </w:rPr>
        <w:t>熟练掌握洛必达法则求“0/0”、“∞/∞”、“0</w:t>
      </w:r>
      <w:r>
        <w:rPr>
          <w:rFonts w:hint="eastAsia" w:ascii="仿宋_GB2312" w:hAnsi="仿宋"/>
          <w:spacing w:val="-10"/>
          <w:sz w:val="32"/>
          <w:szCs w:val="32"/>
        </w:rPr>
        <w:t>•</w:t>
      </w:r>
      <w:r>
        <w:rPr>
          <w:rFonts w:hint="eastAsia" w:ascii="仿宋_GB2312" w:hAnsi="仿宋" w:eastAsia="仿宋_GB2312"/>
          <w:spacing w:val="-10"/>
          <w:sz w:val="32"/>
          <w:szCs w:val="32"/>
        </w:rPr>
        <w:t>∞”、“∞-∞”、“1∞”、“00”和“∞0”型未定式的极限方法。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（3）掌握利用导数判定函数的单调性及求函数的单调增、减区间的方法，会利用函数的增减性证明简单的不等式。</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（4）理解函数极值的概念，掌握求函数的极值和最大（小）值的方法，并且会解简单的应用问题。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（5）会判定曲线的凹凸性，会求曲线的拐点。</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（6）会求曲线的水平渐近线与垂直渐近线。</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（三）一元函数积分学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1.不定积分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（1）理解原函数与不定积分概念及其关系，掌握不定积分性质，了解原函数存在定理。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（2）熟练掌握不定积分的基本公式。</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（3）熟练掌握不定积分第一换元法，掌握第二换元法（限于三角代换与简单的根式代换）。</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（4）熟练掌握不定积分的分部积分法。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2.定积分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（1）理解定积分的概念与几何意义，了解可积的条件。</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（2）掌握定积分的基本性质。</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（3）理解变上限的定积分是变上限的函数，掌握变上限定积分求导数的方法。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（4）掌握牛顿—莱布尼茨公式。</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（5）掌握定积分的换元积分法与分部积分法。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（6）理解无穷区间广义积分的概念，掌握其计算方法。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（7）掌握直角坐标系下用定积分计算平面图形的面积。</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（四）向量代数与空间解析几何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1.向量代数</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（1）理解向量的概念，掌握向量的坐标表示法，会求单位向量、方向余弦、向量在坐标轴上的投影。</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（2）掌握向量的线性运算、向量的数量积与向量积的计算方法。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（3）掌握二向量平行、垂直的条件。</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2.平面与直线</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（1）会求平面的点法式方程、一般式方程。会判定两平面的垂直、平行。</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（2）会求点到平面的距离。</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（3）了解直线的一般式方程，会求直线的标准式方程、参数式方程。会判定两直线平行、垂直。</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（4）会判定直线与平面间的关系（垂直、平行、直线在平面上）。</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（五）多元函数微积分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1.多元函数微分学</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（1）了解多元函数的概念、二元函数的几何意义及二元函数的极值与连续概念（对计算不作要求）。会求二元函数的定义域。</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（2）理解偏导数、全微分概念，知道全微分存在的必要条件与充分条件。</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（3）掌握二元函数的一、二阶偏导数计算方法。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（4）掌握复合函数一阶偏导数的求法。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（5）会求二元函数的全微分。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（6）掌握由方程F（x，y，z）=0所确定的隐函数z=z（x，y）的一阶偏导数的计算方法。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（7）会求二元函数的无条件极值。</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2.二重积分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（1）理解二重积分的概念、性质及其几何意义。</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（2）掌握二重积分在直角坐标系及极坐标系下的计算方法。</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（六）无穷级数</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1.数项级数</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（1）理解级数收敛、发散的概念。掌握级数收敛的必要条件，了解级数的基本性质。</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（2）掌握正项级数的比值数别法。会用正项级数的比较判别法。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（3）掌握几何级数、调和级数与p级数的敛散性。</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（4）了解级数绝对收敛与条件收敛的概念，会使用莱布尼茨判别法。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2.幂级数</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（1）了解幂级数的概念，收敛半径，收敛区间。</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（2）了解幂级数在其收敛区间内的基本性质（和、差、逐项求导与逐项积分）。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（3）掌握求幂级数的收敛半径、收敛区间（不要求讨论端点）的方法。</w:t>
      </w:r>
    </w:p>
    <w:p>
      <w:pPr>
        <w:spacing w:line="58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（七）常微分方程</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1.一阶微分方程</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（1）理解微分方程的定义，理解微分方程的阶、解、通解、初始条件和特解。</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（2）掌握可分离变量方程的解法。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（3）掌握一阶线性方程的解法。</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2.二阶线性微分方程</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（1）了解二阶线性微分方程解的结构。</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（2）掌握二阶常系数齐次线性微分方程的解法。</w:t>
      </w:r>
    </w:p>
    <w:p>
      <w:pPr>
        <w:spacing w:line="580" w:lineRule="exact"/>
        <w:rPr>
          <w:rFonts w:ascii="仿宋_GB2312" w:hAnsi="仿宋" w:eastAsia="仿宋_GB2312"/>
          <w:sz w:val="32"/>
          <w:szCs w:val="32"/>
        </w:rPr>
      </w:pPr>
    </w:p>
    <w:p>
      <w:pPr>
        <w:spacing w:line="580" w:lineRule="exact"/>
      </w:pPr>
    </w:p>
    <w:p>
      <w:pPr>
        <w:rPr>
          <w:rFonts w:ascii="仿宋_GB2312" w:hAnsi="仿宋" w:eastAsia="仿宋_GB2312"/>
          <w:sz w:val="32"/>
          <w:szCs w:val="32"/>
        </w:rPr>
      </w:pPr>
    </w:p>
    <w:p>
      <w:pPr>
        <w:spacing w:line="500" w:lineRule="exact"/>
        <w:rPr>
          <w:rFonts w:ascii="黑体" w:hAnsi="黑体" w:eastAsia="黑体"/>
          <w:sz w:val="32"/>
          <w:szCs w:val="32"/>
        </w:rPr>
      </w:pPr>
      <w:r>
        <w:rPr>
          <w:rFonts w:ascii="汉仪中黑简" w:hAnsi="宋体" w:eastAsia="汉仪中黑简"/>
          <w:sz w:val="32"/>
          <w:szCs w:val="32"/>
        </w:rPr>
        <w:br w:type="page"/>
      </w:r>
      <w:r>
        <w:rPr>
          <w:rFonts w:hint="eastAsia" w:ascii="黑体" w:hAnsi="黑体" w:eastAsia="黑体"/>
          <w:sz w:val="32"/>
          <w:szCs w:val="32"/>
        </w:rPr>
        <w:t>附件</w:t>
      </w:r>
      <w:r>
        <w:rPr>
          <w:rFonts w:ascii="黑体" w:hAnsi="黑体" w:eastAsia="黑体"/>
          <w:sz w:val="32"/>
          <w:szCs w:val="32"/>
        </w:rPr>
        <w:t>6</w:t>
      </w:r>
    </w:p>
    <w:p>
      <w:pPr>
        <w:spacing w:beforeLines="50" w:line="580" w:lineRule="exact"/>
        <w:jc w:val="center"/>
        <w:rPr>
          <w:rFonts w:eastAsia="方正小标宋简体"/>
          <w:bCs/>
          <w:sz w:val="44"/>
          <w:szCs w:val="44"/>
        </w:rPr>
      </w:pPr>
      <w:r>
        <w:rPr>
          <w:rFonts w:eastAsia="方正小标宋简体"/>
          <w:bCs/>
          <w:sz w:val="44"/>
          <w:szCs w:val="44"/>
        </w:rPr>
        <w:t>山东省</w:t>
      </w:r>
      <w:r>
        <w:rPr>
          <w:rFonts w:hint="eastAsia" w:eastAsia="方正小标宋简体"/>
          <w:bCs/>
          <w:sz w:val="44"/>
          <w:szCs w:val="44"/>
        </w:rPr>
        <w:t>2019</w:t>
      </w:r>
      <w:r>
        <w:rPr>
          <w:rFonts w:eastAsia="方正小标宋简体"/>
          <w:bCs/>
          <w:sz w:val="44"/>
          <w:szCs w:val="44"/>
        </w:rPr>
        <w:t>年普通高等教育专升本招生</w:t>
      </w:r>
    </w:p>
    <w:p>
      <w:pPr>
        <w:spacing w:afterLines="100" w:line="580" w:lineRule="exact"/>
        <w:jc w:val="center"/>
        <w:rPr>
          <w:rFonts w:eastAsia="方正小标宋简体"/>
          <w:bCs/>
          <w:sz w:val="44"/>
          <w:szCs w:val="44"/>
        </w:rPr>
      </w:pPr>
      <w:r>
        <w:rPr>
          <w:rFonts w:eastAsia="方正小标宋简体"/>
          <w:bCs/>
          <w:sz w:val="44"/>
          <w:szCs w:val="44"/>
        </w:rPr>
        <w:t>工作进程表</w:t>
      </w:r>
    </w:p>
    <w:p>
      <w:pPr>
        <w:spacing w:line="20" w:lineRule="exact"/>
        <w:rPr>
          <w:rFonts w:ascii="仿宋_GB2312" w:hAnsi="仿宋" w:eastAsia="仿宋_GB2312"/>
          <w:sz w:val="24"/>
        </w:rPr>
      </w:pPr>
    </w:p>
    <w:tbl>
      <w:tblPr>
        <w:tblStyle w:val="14"/>
        <w:tblpPr w:leftFromText="180" w:rightFromText="180" w:vertAnchor="text" w:horzAnchor="page" w:tblpXSpec="center" w:tblpY="32"/>
        <w:tblOverlap w:val="never"/>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827"/>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rPr>
            </w:pPr>
            <w:r>
              <w:rPr>
                <w:rFonts w:hint="eastAsia" w:ascii="黑体" w:hAnsi="黑体" w:eastAsia="黑体"/>
                <w:sz w:val="24"/>
              </w:rPr>
              <w:t>工作任务</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rPr>
            </w:pPr>
            <w:r>
              <w:rPr>
                <w:rFonts w:hint="eastAsia" w:ascii="黑体" w:hAnsi="黑体" w:eastAsia="黑体"/>
                <w:sz w:val="24"/>
              </w:rPr>
              <w:t>参与部门</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黑体" w:eastAsia="黑体"/>
                <w:sz w:val="24"/>
              </w:rPr>
            </w:pPr>
            <w:r>
              <w:rPr>
                <w:rFonts w:hint="eastAsia" w:ascii="黑体" w:hAnsi="黑体" w:eastAsia="黑体"/>
                <w:sz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网上报名</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w:t>
            </w:r>
            <w:r>
              <w:rPr>
                <w:rFonts w:ascii="仿宋_GB2312" w:hAnsi="宋体" w:eastAsia="仿宋_GB2312"/>
                <w:szCs w:val="21"/>
              </w:rPr>
              <w:t>招考院</w:t>
            </w:r>
            <w:r>
              <w:rPr>
                <w:rFonts w:hint="eastAsia" w:ascii="仿宋_GB2312" w:hAnsi="宋体" w:eastAsia="仿宋_GB2312"/>
                <w:szCs w:val="21"/>
              </w:rPr>
              <w:t>信息处、普招处</w:t>
            </w:r>
          </w:p>
        </w:tc>
        <w:tc>
          <w:tcPr>
            <w:tcW w:w="2585" w:type="dxa"/>
            <w:tcBorders>
              <w:top w:val="single" w:color="auto" w:sz="4" w:space="0"/>
              <w:left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2019年1月9日-11日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考生信息审核及考生照片上传</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生源院校、省招考院信息处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2019年1月14日-22日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未通过网上资格审查</w:t>
            </w:r>
          </w:p>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考生资格复核</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省招考院普招处、信息处及生源院校</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退役士兵考生现场资格审查</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各市招生考试机构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退役士兵考生、未通过网上资格审查考生网上报名</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省招考院信息处、生源院校</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网上缴费</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省招考院信息处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2019年1月23日-25日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编排考场</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省招考院信息处、普招处、办公室（信访督查）</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2019年2月28日前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向市招生考试机构</w:t>
            </w:r>
          </w:p>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提供编场等数据</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省招考院信息处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2019年3月1日前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退役士兵填报院校志愿</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省招考院信息处、普招处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2019年3月5日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网上打印准考证</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省招考院信息处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2019年3月11日-17日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考试</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各市招生考试机构、</w:t>
            </w:r>
          </w:p>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省招考院普招处、信息处、办公室</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2019年3月16日-17日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答题卡扫描及卷一评卷</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省招考院信息处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2019年3月下旬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卷二评卷</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省招考院普招处、信息处、办公室及评卷点</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2019年3月下旬-4月上旬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报送考生过程性考核电子档案</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生源院校、省招考院信息处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2019年3月25日-4月4日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成绩统计</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省招考院信息处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2019年4月中上旬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考生成绩查询</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省招考院信息处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2019年4月中旬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考生成绩复核申请</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省招考院办公室（信访督查）、信息处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成绩公布之日起3个工作日内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录取</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省招考院普招处、信息处、办公室及招生高校</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2019年5月上旬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考生录取结果查询</w:t>
            </w:r>
          </w:p>
        </w:tc>
        <w:tc>
          <w:tcPr>
            <w:tcW w:w="38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省招考院信息处</w:t>
            </w:r>
          </w:p>
        </w:tc>
        <w:tc>
          <w:tcPr>
            <w:tcW w:w="25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仿宋_GB2312" w:hAnsi="宋体" w:eastAsia="仿宋_GB2312"/>
                <w:szCs w:val="21"/>
              </w:rPr>
            </w:pPr>
            <w:r>
              <w:rPr>
                <w:rFonts w:hint="eastAsia" w:ascii="仿宋_GB2312" w:hAnsi="宋体" w:eastAsia="仿宋_GB2312"/>
                <w:szCs w:val="21"/>
              </w:rPr>
              <w:t>2019年5月上旬</w:t>
            </w:r>
          </w:p>
        </w:tc>
      </w:tr>
    </w:tbl>
    <w:p>
      <w:pPr>
        <w:spacing w:line="500" w:lineRule="exact"/>
        <w:rPr>
          <w:rFonts w:ascii="黑体" w:hAnsi="黑体" w:eastAsia="黑体"/>
          <w:sz w:val="32"/>
          <w:szCs w:val="32"/>
        </w:rPr>
      </w:pPr>
      <w:r>
        <w:rPr>
          <w:rFonts w:ascii="汉仪中黑简" w:hAnsi="宋体" w:eastAsia="汉仪中黑简"/>
          <w:sz w:val="32"/>
          <w:szCs w:val="32"/>
        </w:rPr>
        <w:br w:type="page"/>
      </w:r>
      <w:r>
        <w:rPr>
          <w:rFonts w:hint="eastAsia" w:ascii="黑体" w:hAnsi="黑体" w:eastAsia="黑体"/>
          <w:sz w:val="32"/>
          <w:szCs w:val="32"/>
        </w:rPr>
        <w:t>附件7</w:t>
      </w:r>
    </w:p>
    <w:p>
      <w:pPr>
        <w:spacing w:afterLines="100" w:line="560" w:lineRule="exact"/>
        <w:jc w:val="center"/>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山东省</w:t>
      </w:r>
      <w:r>
        <w:rPr>
          <w:rFonts w:hint="eastAsia" w:ascii="方正小标宋简体" w:hAnsi="方正小标宋简体" w:eastAsia="方正小标宋简体" w:cs="方正小标宋简体"/>
          <w:bCs/>
          <w:sz w:val="44"/>
          <w:szCs w:val="44"/>
        </w:rPr>
        <w:t>2019</w:t>
      </w:r>
      <w:r>
        <w:rPr>
          <w:rFonts w:ascii="方正小标宋简体" w:hAnsi="方正小标宋简体" w:eastAsia="方正小标宋简体" w:cs="方正小标宋简体"/>
          <w:bCs/>
          <w:sz w:val="44"/>
          <w:szCs w:val="44"/>
        </w:rPr>
        <w:t>年普通高等教育专升本</w:t>
      </w:r>
      <w:r>
        <w:rPr>
          <w:rFonts w:hint="eastAsia" w:ascii="方正小标宋简体" w:hAnsi="方正小标宋简体" w:eastAsia="方正小标宋简体" w:cs="方正小标宋简体"/>
          <w:bCs/>
          <w:sz w:val="44"/>
          <w:szCs w:val="44"/>
        </w:rPr>
        <w:t>报考美术学</w:t>
      </w:r>
      <w:r>
        <w:rPr>
          <w:rFonts w:ascii="方正小标宋简体" w:hAnsi="方正小标宋简体" w:eastAsia="方正小标宋简体" w:cs="方正小标宋简体"/>
          <w:bCs/>
          <w:sz w:val="44"/>
          <w:szCs w:val="44"/>
        </w:rPr>
        <w:t>、音乐</w:t>
      </w:r>
      <w:r>
        <w:rPr>
          <w:rFonts w:hint="eastAsia" w:ascii="方正小标宋简体" w:hAnsi="方正小标宋简体" w:eastAsia="方正小标宋简体" w:cs="方正小标宋简体"/>
          <w:bCs/>
          <w:sz w:val="44"/>
          <w:szCs w:val="44"/>
        </w:rPr>
        <w:t>学、体育教育专业对应</w:t>
      </w:r>
      <w:r>
        <w:rPr>
          <w:rFonts w:ascii="方正小标宋简体" w:hAnsi="方正小标宋简体" w:eastAsia="方正小标宋简体" w:cs="方正小标宋简体"/>
          <w:bCs/>
          <w:sz w:val="44"/>
          <w:szCs w:val="44"/>
        </w:rPr>
        <w:t>的</w:t>
      </w:r>
      <w:r>
        <w:rPr>
          <w:rFonts w:hint="eastAsia" w:ascii="方正小标宋简体" w:hAnsi="方正小标宋简体" w:eastAsia="方正小标宋简体" w:cs="方正小标宋简体"/>
          <w:bCs/>
          <w:sz w:val="44"/>
          <w:szCs w:val="44"/>
        </w:rPr>
        <w:t>专科</w:t>
      </w:r>
      <w:r>
        <w:rPr>
          <w:rFonts w:ascii="方正小标宋简体" w:hAnsi="方正小标宋简体" w:eastAsia="方正小标宋简体" w:cs="方正小标宋简体"/>
          <w:bCs/>
          <w:sz w:val="44"/>
          <w:szCs w:val="44"/>
        </w:rPr>
        <w:t>专业</w:t>
      </w:r>
    </w:p>
    <w:p>
      <w:pPr>
        <w:pStyle w:val="24"/>
        <w:spacing w:line="580" w:lineRule="exact"/>
        <w:ind w:firstLine="640"/>
        <w:rPr>
          <w:rFonts w:ascii="仿宋_GB2312" w:hAnsi="仿宋_GB2312" w:eastAsia="仿宋_GB2312" w:cs="仿宋_GB2312"/>
          <w:sz w:val="32"/>
          <w:szCs w:val="32"/>
        </w:rPr>
      </w:pPr>
    </w:p>
    <w:p>
      <w:pPr>
        <w:ind w:firstLine="640" w:firstLineChars="200"/>
        <w:rPr>
          <w:rFonts w:ascii="仿宋_GB2312" w:hAnsi="宋体" w:eastAsia="仿宋_GB2312" w:cs="宋体"/>
          <w:kern w:val="0"/>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以下</w:t>
      </w:r>
      <w:r>
        <w:rPr>
          <w:rFonts w:ascii="仿宋_GB2312" w:hAnsi="仿宋_GB2312" w:eastAsia="仿宋_GB2312" w:cs="仿宋_GB2312"/>
          <w:sz w:val="32"/>
          <w:szCs w:val="32"/>
        </w:rPr>
        <w:t>专</w:t>
      </w:r>
      <w:r>
        <w:rPr>
          <w:rFonts w:eastAsia="仿宋_GB2312"/>
          <w:sz w:val="32"/>
          <w:szCs w:val="32"/>
        </w:rPr>
        <w:t>科专业</w:t>
      </w:r>
      <w:r>
        <w:rPr>
          <w:rFonts w:hint="eastAsia" w:eastAsia="仿宋_GB2312"/>
          <w:sz w:val="32"/>
          <w:szCs w:val="32"/>
        </w:rPr>
        <w:t>的</w:t>
      </w:r>
      <w:r>
        <w:rPr>
          <w:rFonts w:eastAsia="仿宋_GB2312"/>
          <w:sz w:val="32"/>
          <w:szCs w:val="32"/>
        </w:rPr>
        <w:t>考生</w:t>
      </w:r>
      <w:r>
        <w:rPr>
          <w:rFonts w:hint="eastAsia" w:eastAsia="仿宋_GB2312"/>
          <w:sz w:val="32"/>
          <w:szCs w:val="32"/>
        </w:rPr>
        <w:t>可报</w:t>
      </w:r>
      <w:r>
        <w:rPr>
          <w:rFonts w:hint="eastAsia" w:ascii="仿宋_GB2312" w:hAnsi="仿宋_GB2312" w:eastAsia="仿宋_GB2312" w:cs="仿宋_GB2312"/>
          <w:sz w:val="32"/>
          <w:szCs w:val="32"/>
        </w:rPr>
        <w:t>考</w:t>
      </w:r>
      <w:r>
        <w:rPr>
          <w:rFonts w:ascii="仿宋_GB2312" w:hAnsi="仿宋_GB2312" w:eastAsia="仿宋_GB2312" w:cs="仿宋_GB2312"/>
          <w:sz w:val="32"/>
          <w:szCs w:val="32"/>
        </w:rPr>
        <w:t>美术</w:t>
      </w:r>
      <w:r>
        <w:rPr>
          <w:rFonts w:hint="eastAsia" w:ascii="仿宋_GB2312" w:hAnsi="仿宋_GB2312" w:eastAsia="仿宋_GB2312" w:cs="仿宋_GB2312"/>
          <w:sz w:val="32"/>
          <w:szCs w:val="32"/>
        </w:rPr>
        <w:t>学专业：</w:t>
      </w:r>
      <w:r>
        <w:rPr>
          <w:rFonts w:hint="eastAsia" w:ascii="仿宋_GB2312" w:hAnsi="宋体" w:eastAsia="仿宋_GB2312" w:cs="宋体"/>
          <w:kern w:val="0"/>
          <w:sz w:val="32"/>
          <w:szCs w:val="32"/>
        </w:rPr>
        <w:t>建筑装饰工程技术、建筑室内设计、建筑动画与模型制作、鞋类设计与工艺、服装设计与工艺、服装陈列与展示设计、动漫制作技术、数字媒体应用技术、艺术设计、视觉传播设计与制作、广告设计与制作、数字媒体艺术设计、产品艺术设计、服装与服饰设计、室内艺术设计、展示艺术设计、环境艺术设计、陶瓷设计与工艺、首饰设计与工艺、工艺美术品设计、人物形象设计、美术、艺术设计类、影视动画、美术教育、摄影摄像技术等。</w:t>
      </w:r>
    </w:p>
    <w:p>
      <w:pPr>
        <w:spacing w:line="56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w:t>
      </w:r>
      <w:r>
        <w:rPr>
          <w:rFonts w:hint="eastAsia" w:eastAsia="仿宋_GB2312"/>
          <w:sz w:val="32"/>
          <w:szCs w:val="32"/>
        </w:rPr>
        <w:t>以下</w:t>
      </w:r>
      <w:r>
        <w:rPr>
          <w:rFonts w:eastAsia="仿宋_GB2312"/>
          <w:sz w:val="32"/>
          <w:szCs w:val="32"/>
        </w:rPr>
        <w:t>专科专业可报考</w:t>
      </w:r>
      <w:r>
        <w:rPr>
          <w:rFonts w:hint="eastAsia" w:eastAsia="仿宋_GB2312"/>
          <w:sz w:val="32"/>
          <w:szCs w:val="32"/>
        </w:rPr>
        <w:t>音乐学</w:t>
      </w:r>
      <w:r>
        <w:rPr>
          <w:rFonts w:eastAsia="仿宋_GB2312"/>
          <w:sz w:val="32"/>
          <w:szCs w:val="32"/>
        </w:rPr>
        <w:t>专业</w:t>
      </w:r>
      <w:r>
        <w:rPr>
          <w:rFonts w:hint="eastAsia" w:eastAsia="仿宋_GB2312"/>
          <w:sz w:val="32"/>
          <w:szCs w:val="32"/>
        </w:rPr>
        <w:t>：表演艺术、表演艺术类、音乐表演、音乐教育、</w:t>
      </w:r>
      <w:r>
        <w:rPr>
          <w:rFonts w:eastAsia="仿宋_GB2312"/>
          <w:sz w:val="32"/>
          <w:szCs w:val="32"/>
        </w:rPr>
        <w:t>舞蹈表演</w:t>
      </w:r>
      <w:r>
        <w:rPr>
          <w:rFonts w:hint="eastAsia" w:eastAsia="仿宋_GB2312"/>
          <w:sz w:val="32"/>
          <w:szCs w:val="32"/>
        </w:rPr>
        <w:t>等。</w:t>
      </w:r>
    </w:p>
    <w:p>
      <w:pPr>
        <w:spacing w:line="56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w:t>
      </w:r>
      <w:r>
        <w:rPr>
          <w:rFonts w:hint="eastAsia" w:eastAsia="仿宋_GB2312"/>
          <w:sz w:val="32"/>
          <w:szCs w:val="32"/>
        </w:rPr>
        <w:t>以下</w:t>
      </w:r>
      <w:r>
        <w:rPr>
          <w:rFonts w:eastAsia="仿宋_GB2312"/>
          <w:sz w:val="32"/>
          <w:szCs w:val="32"/>
        </w:rPr>
        <w:t>专科专业可报考</w:t>
      </w:r>
      <w:r>
        <w:rPr>
          <w:rFonts w:hint="eastAsia" w:eastAsia="仿宋_GB2312"/>
          <w:sz w:val="32"/>
          <w:szCs w:val="32"/>
        </w:rPr>
        <w:t>体育教育</w:t>
      </w:r>
      <w:r>
        <w:rPr>
          <w:rFonts w:eastAsia="仿宋_GB2312"/>
          <w:sz w:val="32"/>
          <w:szCs w:val="32"/>
        </w:rPr>
        <w:t>专业</w:t>
      </w:r>
      <w:r>
        <w:rPr>
          <w:rFonts w:hint="eastAsia" w:eastAsia="仿宋_GB2312"/>
          <w:sz w:val="32"/>
          <w:szCs w:val="32"/>
        </w:rPr>
        <w:t>：社会体育、体育运营与管理、体育教育等</w:t>
      </w:r>
      <w:r>
        <w:rPr>
          <w:rFonts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其他</w:t>
      </w:r>
      <w:r>
        <w:rPr>
          <w:rFonts w:eastAsia="仿宋_GB2312"/>
          <w:sz w:val="32"/>
          <w:szCs w:val="32"/>
        </w:rPr>
        <w:t>未涵盖</w:t>
      </w:r>
      <w:r>
        <w:rPr>
          <w:rFonts w:hint="eastAsia" w:eastAsia="仿宋_GB2312"/>
          <w:sz w:val="32"/>
          <w:szCs w:val="32"/>
        </w:rPr>
        <w:t>的</w:t>
      </w:r>
      <w:r>
        <w:rPr>
          <w:rFonts w:eastAsia="仿宋_GB2312"/>
          <w:sz w:val="32"/>
          <w:szCs w:val="32"/>
        </w:rPr>
        <w:t>相</w:t>
      </w:r>
      <w:r>
        <w:rPr>
          <w:rFonts w:hint="eastAsia" w:eastAsia="仿宋_GB2312"/>
          <w:sz w:val="32"/>
          <w:szCs w:val="32"/>
        </w:rPr>
        <w:t>近</w:t>
      </w:r>
      <w:r>
        <w:rPr>
          <w:rFonts w:eastAsia="仿宋_GB2312"/>
          <w:sz w:val="32"/>
          <w:szCs w:val="32"/>
        </w:rPr>
        <w:t>专业</w:t>
      </w:r>
      <w:r>
        <w:rPr>
          <w:rFonts w:hint="eastAsia" w:eastAsia="仿宋_GB2312"/>
          <w:sz w:val="32"/>
          <w:szCs w:val="32"/>
        </w:rPr>
        <w:t>由</w:t>
      </w:r>
      <w:r>
        <w:rPr>
          <w:rFonts w:eastAsia="仿宋_GB2312"/>
          <w:sz w:val="32"/>
          <w:szCs w:val="32"/>
        </w:rPr>
        <w:t>生源院校</w:t>
      </w:r>
      <w:r>
        <w:rPr>
          <w:rFonts w:hint="eastAsia" w:eastAsia="仿宋_GB2312"/>
          <w:sz w:val="32"/>
          <w:szCs w:val="32"/>
        </w:rPr>
        <w:t>向山东</w:t>
      </w:r>
      <w:r>
        <w:rPr>
          <w:rFonts w:eastAsia="仿宋_GB2312"/>
          <w:sz w:val="32"/>
          <w:szCs w:val="32"/>
        </w:rPr>
        <w:t>省教育招生考试院提交申请</w:t>
      </w:r>
      <w:r>
        <w:rPr>
          <w:rFonts w:hint="eastAsia" w:eastAsia="仿宋_GB2312"/>
          <w:sz w:val="32"/>
          <w:szCs w:val="32"/>
        </w:rPr>
        <w:t>，</w:t>
      </w:r>
      <w:r>
        <w:rPr>
          <w:rFonts w:eastAsia="仿宋_GB2312"/>
          <w:sz w:val="32"/>
          <w:szCs w:val="32"/>
        </w:rPr>
        <w:t>审核通过后</w:t>
      </w:r>
      <w:r>
        <w:rPr>
          <w:rFonts w:hint="eastAsia" w:eastAsia="仿宋_GB2312"/>
          <w:sz w:val="32"/>
          <w:szCs w:val="32"/>
        </w:rPr>
        <w:t>考生</w:t>
      </w:r>
      <w:r>
        <w:rPr>
          <w:rFonts w:eastAsia="仿宋_GB2312"/>
          <w:sz w:val="32"/>
          <w:szCs w:val="32"/>
        </w:rPr>
        <w:t>方可报</w:t>
      </w:r>
      <w:r>
        <w:rPr>
          <w:rFonts w:hint="eastAsia" w:eastAsia="仿宋_GB2312"/>
          <w:sz w:val="32"/>
          <w:szCs w:val="32"/>
        </w:rPr>
        <w:t>考</w:t>
      </w:r>
      <w:r>
        <w:rPr>
          <w:rFonts w:eastAsia="仿宋_GB2312"/>
          <w:sz w:val="32"/>
          <w:szCs w:val="32"/>
        </w:rPr>
        <w:t>。</w:t>
      </w:r>
    </w:p>
    <w:p>
      <w:pPr>
        <w:spacing w:line="500" w:lineRule="exact"/>
        <w:rPr>
          <w:rFonts w:ascii="黑体" w:hAnsi="黑体" w:eastAsia="黑体"/>
          <w:sz w:val="32"/>
          <w:szCs w:val="32"/>
        </w:rPr>
      </w:pPr>
      <w:r>
        <w:rPr>
          <w:rFonts w:ascii="汉仪中黑简" w:hAnsi="宋体" w:eastAsia="汉仪中黑简"/>
          <w:sz w:val="32"/>
          <w:szCs w:val="32"/>
        </w:rPr>
        <w:br w:type="page"/>
      </w:r>
      <w:r>
        <w:rPr>
          <w:rFonts w:hint="eastAsia" w:ascii="黑体" w:hAnsi="黑体" w:eastAsia="黑体"/>
          <w:sz w:val="32"/>
          <w:szCs w:val="32"/>
        </w:rPr>
        <w:t>附件8</w:t>
      </w:r>
    </w:p>
    <w:p>
      <w:pPr>
        <w:spacing w:afterLines="100" w:line="640" w:lineRule="exact"/>
        <w:jc w:val="center"/>
        <w:rPr>
          <w:rFonts w:ascii="黑体" w:hAnsi="黑体" w:eastAsia="黑体"/>
          <w:sz w:val="44"/>
          <w:szCs w:val="44"/>
        </w:rPr>
      </w:pPr>
      <w:r>
        <w:rPr>
          <w:rFonts w:hint="eastAsia" w:ascii="方正小标宋简体" w:hAnsi="方正小标宋简体" w:eastAsia="方正小标宋简体" w:cs="方正小标宋简体"/>
          <w:sz w:val="44"/>
          <w:szCs w:val="44"/>
        </w:rPr>
        <w:t>上传照片要求</w:t>
      </w:r>
    </w:p>
    <w:p>
      <w:pPr>
        <w:pStyle w:val="24"/>
        <w:spacing w:line="580" w:lineRule="exact"/>
        <w:ind w:firstLine="640"/>
        <w:rPr>
          <w:rFonts w:ascii="仿宋_GB2312" w:hAnsi="仿宋_GB2312" w:eastAsia="仿宋_GB2312" w:cs="仿宋_GB2312"/>
          <w:sz w:val="32"/>
          <w:szCs w:val="32"/>
        </w:rPr>
      </w:pPr>
    </w:p>
    <w:p>
      <w:pPr>
        <w:pStyle w:val="24"/>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1.须上传考生本人近期免冠正面头像照片，照片中头部面积须占1/3以上（取像至衣领第一个纽扣为宜，头顶至照片顶部空间占照片高度1/10左右），人脸无变形，背景为蓝色或红色（避免逆光或强反光影响）。</w:t>
      </w:r>
    </w:p>
    <w:p>
      <w:pPr>
        <w:pStyle w:val="24"/>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2.照片存储格式要求为JPEG格式（即.jpg文件格式），480像素（高）X360像素（宽）左右，文件大小为30KB以内。</w:t>
      </w:r>
    </w:p>
    <w:p>
      <w:pPr>
        <w:spacing w:line="580" w:lineRule="exact"/>
        <w:rPr>
          <w:rFonts w:eastAsia="方正仿宋_GBK"/>
          <w:sz w:val="32"/>
          <w:szCs w:val="32"/>
        </w:rPr>
      </w:pPr>
    </w:p>
    <w:p>
      <w:pPr>
        <w:spacing w:line="500" w:lineRule="exact"/>
        <w:rPr>
          <w:rFonts w:ascii="黑体" w:hAnsi="黑体" w:eastAsia="黑体"/>
          <w:sz w:val="32"/>
          <w:szCs w:val="32"/>
        </w:rPr>
      </w:pPr>
      <w:r>
        <w:rPr>
          <w:rFonts w:ascii="汉仪中黑简" w:hAnsi="宋体" w:eastAsia="汉仪中黑简"/>
          <w:sz w:val="32"/>
          <w:szCs w:val="32"/>
        </w:rPr>
        <w:br w:type="page"/>
      </w:r>
      <w:r>
        <w:rPr>
          <w:rFonts w:hint="eastAsia" w:ascii="黑体" w:hAnsi="黑体" w:eastAsia="黑体"/>
          <w:sz w:val="32"/>
          <w:szCs w:val="32"/>
        </w:rPr>
        <w:t>附件9</w:t>
      </w:r>
    </w:p>
    <w:p>
      <w:pPr>
        <w:spacing w:afterLines="100" w:line="560" w:lineRule="exact"/>
        <w:jc w:val="center"/>
        <w:rPr>
          <w:rFonts w:ascii="方正小标宋简体" w:hAnsi="方正小标宋简体" w:eastAsia="方正小标宋简体" w:cs="方正小标宋简体"/>
          <w:b/>
          <w:sz w:val="28"/>
          <w:szCs w:val="28"/>
        </w:rPr>
      </w:pPr>
      <w:r>
        <w:rPr>
          <w:rFonts w:hint="eastAsia" w:ascii="方正小标宋简体" w:hAnsi="方正小标宋简体" w:eastAsia="方正小标宋简体" w:cs="方正小标宋简体"/>
          <w:bCs/>
          <w:sz w:val="44"/>
          <w:szCs w:val="44"/>
        </w:rPr>
        <w:t>各市招生考试机构地址及联系方式</w:t>
      </w:r>
    </w:p>
    <w:tbl>
      <w:tblPr>
        <w:tblStyle w:val="14"/>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74"/>
        <w:gridCol w:w="2857"/>
        <w:gridCol w:w="3648"/>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24" w:hRule="atLeast"/>
          <w:jc w:val="center"/>
        </w:trPr>
        <w:tc>
          <w:tcPr>
            <w:tcW w:w="774" w:type="dxa"/>
            <w:vAlign w:val="center"/>
          </w:tcPr>
          <w:p>
            <w:pPr>
              <w:snapToGrid w:val="0"/>
              <w:jc w:val="center"/>
              <w:rPr>
                <w:rFonts w:ascii="黑体" w:hAnsi="黑体" w:eastAsia="黑体"/>
                <w:bCs/>
                <w:sz w:val="24"/>
              </w:rPr>
            </w:pPr>
            <w:r>
              <w:rPr>
                <w:rFonts w:hint="eastAsia" w:ascii="黑体" w:hAnsi="黑体" w:eastAsia="黑体"/>
                <w:bCs/>
                <w:sz w:val="24"/>
              </w:rPr>
              <w:t>市</w:t>
            </w:r>
          </w:p>
        </w:tc>
        <w:tc>
          <w:tcPr>
            <w:tcW w:w="2857" w:type="dxa"/>
            <w:vAlign w:val="center"/>
          </w:tcPr>
          <w:p>
            <w:pPr>
              <w:snapToGrid w:val="0"/>
              <w:jc w:val="center"/>
              <w:rPr>
                <w:rFonts w:ascii="黑体" w:hAnsi="黑体" w:eastAsia="黑体"/>
                <w:bCs/>
                <w:sz w:val="24"/>
              </w:rPr>
            </w:pPr>
            <w:r>
              <w:rPr>
                <w:rFonts w:hint="eastAsia" w:ascii="黑体" w:hAnsi="黑体" w:eastAsia="黑体"/>
                <w:bCs/>
                <w:sz w:val="24"/>
              </w:rPr>
              <w:t>单位名称</w:t>
            </w:r>
          </w:p>
        </w:tc>
        <w:tc>
          <w:tcPr>
            <w:tcW w:w="3648" w:type="dxa"/>
            <w:vAlign w:val="center"/>
          </w:tcPr>
          <w:p>
            <w:pPr>
              <w:snapToGrid w:val="0"/>
              <w:jc w:val="center"/>
              <w:rPr>
                <w:rFonts w:ascii="黑体" w:hAnsi="黑体" w:eastAsia="黑体"/>
                <w:bCs/>
                <w:sz w:val="24"/>
              </w:rPr>
            </w:pPr>
            <w:r>
              <w:rPr>
                <w:rFonts w:hint="eastAsia" w:ascii="黑体" w:hAnsi="黑体" w:eastAsia="黑体"/>
                <w:bCs/>
                <w:sz w:val="24"/>
              </w:rPr>
              <w:t>地   址</w:t>
            </w:r>
          </w:p>
        </w:tc>
        <w:tc>
          <w:tcPr>
            <w:tcW w:w="1793" w:type="dxa"/>
            <w:vAlign w:val="center"/>
          </w:tcPr>
          <w:p>
            <w:pPr>
              <w:snapToGrid w:val="0"/>
              <w:jc w:val="center"/>
              <w:rPr>
                <w:rFonts w:ascii="黑体" w:hAnsi="黑体" w:eastAsia="黑体"/>
                <w:bCs/>
                <w:sz w:val="24"/>
              </w:rPr>
            </w:pPr>
            <w:r>
              <w:rPr>
                <w:rFonts w:hint="eastAsia" w:ascii="黑体" w:hAnsi="黑体" w:eastAsia="黑体"/>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济南</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济南市教育招生考试院</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济南市经二路195号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0531-86111568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青岛</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青岛市招生考试办公室</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青岛市市南区鄱阳湖路5号甲</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0532-85786212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淄博</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淄博市教育招生考试院</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淄博市张店区联通路202号市直机关第二综合办公大楼926号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0533-2793621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枣庄</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枣庄市招生委员会办公室</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枣庄市薛城区光明大道3285号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0632-3314618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东营</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东营市教育招生考试院</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东营市东三路163号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0546-8328330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烟台</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烟台市教育招生考试中心</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烟台市莱山区新星北街5号付1号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0535-21018</w:t>
            </w:r>
            <w:r>
              <w:rPr>
                <w:rFonts w:ascii="仿宋_GB2312" w:eastAsia="仿宋_GB2312"/>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潍坊</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潍坊市招生考试办公室</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潍坊市高新区福寿东街4469号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0536-8232582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济宁</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济宁市招生考试中心</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济宁市任城区供销路16号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0537-2371176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泰安</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泰安市招生考试中心</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泰安市岱道庵路486号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0538-8236001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威海</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威海市招生考试办公室</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威海市文化中路72号213</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0631-5810205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日照</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日照市教育考试中心</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日照市东港区北京路132号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0633-8771300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莱芜</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莱芜市招生考试委员会办公室</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莱芜市文化北路20号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0634-6210894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临沂</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临沂市教育考试中心</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临沂市北城新区上海路与蒙河路交汇处</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0539-8318884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德州</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德州市教育局招生科</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德州市德城区湖滨北大道329号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0534-2388605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滨州</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滨州市招生考试委员会办公室</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滨州市滨城区渤海十六路699号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0543-3188727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聊城</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聊城市招生考试中心</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聊城市东昌府区龙山西街33号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0635-8244951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774" w:type="dxa"/>
            <w:vAlign w:val="center"/>
          </w:tcPr>
          <w:p>
            <w:pPr>
              <w:snapToGrid w:val="0"/>
              <w:jc w:val="center"/>
              <w:rPr>
                <w:rFonts w:ascii="仿宋_GB2312" w:eastAsia="仿宋_GB2312"/>
                <w:bCs/>
                <w:sz w:val="24"/>
              </w:rPr>
            </w:pPr>
            <w:r>
              <w:rPr>
                <w:rFonts w:hint="eastAsia" w:ascii="仿宋_GB2312" w:eastAsia="仿宋_GB2312"/>
                <w:bCs/>
                <w:sz w:val="24"/>
              </w:rPr>
              <w:t>菏泽</w:t>
            </w:r>
          </w:p>
        </w:tc>
        <w:tc>
          <w:tcPr>
            <w:tcW w:w="2857" w:type="dxa"/>
            <w:vAlign w:val="center"/>
          </w:tcPr>
          <w:p>
            <w:pPr>
              <w:snapToGrid w:val="0"/>
              <w:jc w:val="left"/>
              <w:rPr>
                <w:rFonts w:ascii="仿宋_GB2312" w:eastAsia="仿宋_GB2312"/>
                <w:bCs/>
                <w:sz w:val="24"/>
              </w:rPr>
            </w:pPr>
            <w:r>
              <w:rPr>
                <w:rFonts w:hint="eastAsia" w:ascii="仿宋_GB2312" w:eastAsia="仿宋_GB2312"/>
                <w:bCs/>
                <w:sz w:val="24"/>
              </w:rPr>
              <w:t>菏泽市教育考试中心</w:t>
            </w:r>
          </w:p>
        </w:tc>
        <w:tc>
          <w:tcPr>
            <w:tcW w:w="3648" w:type="dxa"/>
            <w:vAlign w:val="center"/>
          </w:tcPr>
          <w:p>
            <w:pPr>
              <w:snapToGrid w:val="0"/>
              <w:jc w:val="left"/>
              <w:rPr>
                <w:rFonts w:ascii="仿宋_GB2312" w:eastAsia="仿宋_GB2312"/>
                <w:bCs/>
                <w:sz w:val="24"/>
              </w:rPr>
            </w:pPr>
            <w:r>
              <w:rPr>
                <w:rFonts w:hint="eastAsia" w:ascii="仿宋_GB2312" w:eastAsia="仿宋_GB2312"/>
                <w:bCs/>
                <w:sz w:val="24"/>
              </w:rPr>
              <w:t>菏泽市育才路466号</w:t>
            </w:r>
          </w:p>
        </w:tc>
        <w:tc>
          <w:tcPr>
            <w:tcW w:w="1793" w:type="dxa"/>
            <w:vAlign w:val="center"/>
          </w:tcPr>
          <w:p>
            <w:pPr>
              <w:snapToGrid w:val="0"/>
              <w:jc w:val="center"/>
              <w:rPr>
                <w:rFonts w:ascii="仿宋_GB2312" w:eastAsia="仿宋_GB2312"/>
                <w:bCs/>
                <w:sz w:val="24"/>
              </w:rPr>
            </w:pPr>
            <w:r>
              <w:rPr>
                <w:rFonts w:hint="eastAsia" w:ascii="仿宋_GB2312" w:eastAsia="仿宋_GB2312"/>
                <w:bCs/>
                <w:sz w:val="24"/>
              </w:rPr>
              <w:t>0530-5191059</w:t>
            </w:r>
          </w:p>
        </w:tc>
      </w:tr>
    </w:tbl>
    <w:p>
      <w:pPr>
        <w:spacing w:line="500" w:lineRule="exact"/>
        <w:rPr>
          <w:rFonts w:ascii="黑体" w:hAnsi="黑体" w:eastAsia="黑体"/>
          <w:sz w:val="32"/>
          <w:szCs w:val="32"/>
        </w:rPr>
      </w:pPr>
      <w:r>
        <w:rPr>
          <w:rFonts w:ascii="汉仪中黑简" w:hAnsi="宋体" w:eastAsia="汉仪中黑简"/>
          <w:sz w:val="32"/>
          <w:szCs w:val="32"/>
        </w:rPr>
        <w:br w:type="page"/>
      </w:r>
      <w:r>
        <w:rPr>
          <w:rFonts w:hint="eastAsia" w:ascii="黑体" w:hAnsi="黑体" w:eastAsia="黑体"/>
          <w:sz w:val="32"/>
          <w:szCs w:val="32"/>
        </w:rPr>
        <w:t>附件10</w:t>
      </w:r>
    </w:p>
    <w:p>
      <w:pPr>
        <w:spacing w:line="640" w:lineRule="exact"/>
        <w:jc w:val="center"/>
        <w:rPr>
          <w:rFonts w:eastAsia="方正小标宋简体"/>
          <w:sz w:val="44"/>
          <w:szCs w:val="44"/>
        </w:rPr>
      </w:pPr>
      <w:r>
        <w:rPr>
          <w:rFonts w:eastAsia="方正小标宋简体"/>
          <w:sz w:val="44"/>
          <w:szCs w:val="44"/>
        </w:rPr>
        <w:t>山东省</w:t>
      </w:r>
      <w:bookmarkStart w:id="0" w:name="OLE_LINK1"/>
      <w:r>
        <w:rPr>
          <w:rFonts w:hint="eastAsia" w:eastAsia="方正小标宋简体"/>
          <w:sz w:val="44"/>
          <w:szCs w:val="44"/>
        </w:rPr>
        <w:t>2019</w:t>
      </w:r>
      <w:r>
        <w:rPr>
          <w:rFonts w:eastAsia="方正小标宋简体"/>
          <w:sz w:val="44"/>
          <w:szCs w:val="44"/>
        </w:rPr>
        <w:t>年普通高等教育专升本招生考试</w:t>
      </w:r>
      <w:bookmarkEnd w:id="0"/>
    </w:p>
    <w:p>
      <w:pPr>
        <w:spacing w:afterLines="100" w:line="640" w:lineRule="exact"/>
        <w:jc w:val="center"/>
        <w:rPr>
          <w:rFonts w:eastAsia="方正小标宋简体"/>
          <w:sz w:val="44"/>
          <w:szCs w:val="44"/>
        </w:rPr>
      </w:pPr>
      <w:r>
        <w:rPr>
          <w:rFonts w:eastAsia="方正小标宋简体"/>
          <w:sz w:val="44"/>
          <w:szCs w:val="44"/>
        </w:rPr>
        <w:t>退役士兵考生资格审查、数据上报工作要求</w:t>
      </w:r>
    </w:p>
    <w:p>
      <w:pPr>
        <w:spacing w:line="580" w:lineRule="exact"/>
        <w:ind w:firstLine="640" w:firstLineChars="200"/>
        <w:rPr>
          <w:rFonts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1．认真审核考生材料是否符合2019年普通高等教育专升本招生考试报名条件，留存相关材料复印件，与考生签订诚信承诺书，格式可参照附件13。</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2．现场采集审核通过考生的相关信息及电子照片，照片要求见附件8，要确保考生照片等信息与考生本人一致。</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3．资格审查结束后，市招生考试机构需将考生信息、照片汇总后，在2019年</w:t>
      </w:r>
      <w:r>
        <w:rPr>
          <w:rFonts w:hint="eastAsia" w:ascii="仿宋_GB2312" w:eastAsia="仿宋_GB2312"/>
          <w:color w:val="000000" w:themeColor="text1"/>
          <w:sz w:val="32"/>
          <w:szCs w:val="32"/>
        </w:rPr>
        <w:t>1月16日</w:t>
      </w:r>
      <w:r>
        <w:rPr>
          <w:rFonts w:hint="eastAsia" w:ascii="仿宋_GB2312" w:eastAsia="仿宋_GB2312"/>
          <w:sz w:val="32"/>
          <w:szCs w:val="32"/>
        </w:rPr>
        <w:t>前将纸质版（加盖单位公章）、电子版考生信息库上报省教育招生考试院信息处。纸质版邮寄至济南市文化西路29号307室（联系电话：0531-81916056），电子版信息库以excel或dbf格式发送至e37_shij@sdzs.gov.cn，所需字段要求见附件11，电子照片以考生身份证号命名随电子版考生信息库一同上报。</w:t>
      </w:r>
    </w:p>
    <w:p>
      <w:pPr>
        <w:spacing w:line="500" w:lineRule="exact"/>
        <w:rPr>
          <w:rFonts w:ascii="黑体" w:hAnsi="黑体" w:eastAsia="黑体"/>
          <w:sz w:val="32"/>
          <w:szCs w:val="32"/>
        </w:rPr>
      </w:pPr>
      <w:r>
        <w:rPr>
          <w:rFonts w:hint="eastAsia" w:ascii="仿宋_GB2312" w:hAnsi="宋体" w:eastAsia="仿宋_GB2312"/>
          <w:sz w:val="32"/>
          <w:szCs w:val="32"/>
        </w:rPr>
        <w:br w:type="page"/>
      </w:r>
      <w:r>
        <w:rPr>
          <w:rFonts w:hint="eastAsia" w:ascii="黑体" w:hAnsi="黑体" w:eastAsia="黑体"/>
          <w:sz w:val="32"/>
          <w:szCs w:val="32"/>
        </w:rPr>
        <w:t>附件11</w:t>
      </w:r>
    </w:p>
    <w:p>
      <w:pPr>
        <w:spacing w:before="200" w:afterLines="100" w:line="580" w:lineRule="exact"/>
        <w:jc w:val="center"/>
        <w:rPr>
          <w:rFonts w:ascii="方正小标宋简体" w:eastAsia="方正小标宋简体"/>
          <w:bCs/>
          <w:sz w:val="44"/>
          <w:szCs w:val="44"/>
        </w:rPr>
      </w:pPr>
      <w:r>
        <w:rPr>
          <w:rFonts w:hint="eastAsia" w:ascii="方正小标宋简体" w:eastAsia="方正小标宋简体"/>
          <w:bCs/>
          <w:sz w:val="44"/>
          <w:szCs w:val="44"/>
        </w:rPr>
        <w:t>2019年普通高等教育专升本招生考试退役士兵考生信息采集所需字段</w:t>
      </w:r>
    </w:p>
    <w:p>
      <w:pPr>
        <w:spacing w:line="580" w:lineRule="exact"/>
        <w:ind w:firstLine="883" w:firstLineChars="200"/>
        <w:rPr>
          <w:rFonts w:eastAsia="方正小标宋简体"/>
          <w:b/>
          <w:sz w:val="44"/>
          <w:szCs w:val="44"/>
        </w:rPr>
      </w:pPr>
    </w:p>
    <w:tbl>
      <w:tblPr>
        <w:tblStyle w:val="14"/>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380"/>
        <w:gridCol w:w="2286"/>
        <w:gridCol w:w="1151"/>
        <w:gridCol w:w="871"/>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1" w:type="dxa"/>
            <w:vAlign w:val="center"/>
          </w:tcPr>
          <w:p>
            <w:pPr>
              <w:jc w:val="center"/>
              <w:rPr>
                <w:rFonts w:ascii="黑体" w:hAnsi="黑体" w:eastAsia="黑体"/>
                <w:bCs/>
                <w:sz w:val="24"/>
                <w:szCs w:val="21"/>
              </w:rPr>
            </w:pPr>
            <w:r>
              <w:rPr>
                <w:rFonts w:hint="eastAsia" w:ascii="黑体" w:hAnsi="黑体" w:eastAsia="黑体"/>
                <w:bCs/>
                <w:sz w:val="24"/>
                <w:szCs w:val="21"/>
              </w:rPr>
              <w:t>序号</w:t>
            </w:r>
          </w:p>
        </w:tc>
        <w:tc>
          <w:tcPr>
            <w:tcW w:w="1380" w:type="dxa"/>
            <w:vAlign w:val="center"/>
          </w:tcPr>
          <w:p>
            <w:pPr>
              <w:jc w:val="center"/>
              <w:rPr>
                <w:rFonts w:ascii="黑体" w:hAnsi="黑体" w:eastAsia="黑体"/>
                <w:bCs/>
                <w:sz w:val="24"/>
                <w:szCs w:val="21"/>
              </w:rPr>
            </w:pPr>
            <w:r>
              <w:rPr>
                <w:rFonts w:hint="eastAsia" w:ascii="黑体" w:hAnsi="黑体" w:eastAsia="黑体"/>
                <w:bCs/>
                <w:sz w:val="24"/>
                <w:szCs w:val="21"/>
              </w:rPr>
              <w:t>字段名</w:t>
            </w:r>
          </w:p>
        </w:tc>
        <w:tc>
          <w:tcPr>
            <w:tcW w:w="2286" w:type="dxa"/>
            <w:vAlign w:val="center"/>
          </w:tcPr>
          <w:p>
            <w:pPr>
              <w:jc w:val="center"/>
              <w:rPr>
                <w:rFonts w:ascii="黑体" w:hAnsi="黑体" w:eastAsia="黑体"/>
                <w:bCs/>
                <w:sz w:val="24"/>
                <w:szCs w:val="21"/>
              </w:rPr>
            </w:pPr>
            <w:r>
              <w:rPr>
                <w:rFonts w:hint="eastAsia" w:ascii="黑体" w:hAnsi="黑体" w:eastAsia="黑体"/>
                <w:bCs/>
                <w:sz w:val="24"/>
                <w:szCs w:val="21"/>
              </w:rPr>
              <w:t>字段含义</w:t>
            </w:r>
          </w:p>
        </w:tc>
        <w:tc>
          <w:tcPr>
            <w:tcW w:w="1151" w:type="dxa"/>
            <w:vAlign w:val="center"/>
          </w:tcPr>
          <w:p>
            <w:pPr>
              <w:jc w:val="center"/>
              <w:rPr>
                <w:rFonts w:ascii="黑体" w:hAnsi="黑体" w:eastAsia="黑体"/>
                <w:bCs/>
                <w:sz w:val="24"/>
                <w:szCs w:val="21"/>
              </w:rPr>
            </w:pPr>
            <w:r>
              <w:rPr>
                <w:rFonts w:hint="eastAsia" w:ascii="黑体" w:hAnsi="黑体" w:eastAsia="黑体"/>
                <w:bCs/>
                <w:sz w:val="24"/>
                <w:szCs w:val="21"/>
              </w:rPr>
              <w:t>类型</w:t>
            </w:r>
          </w:p>
        </w:tc>
        <w:tc>
          <w:tcPr>
            <w:tcW w:w="871" w:type="dxa"/>
            <w:vAlign w:val="center"/>
          </w:tcPr>
          <w:p>
            <w:pPr>
              <w:jc w:val="center"/>
              <w:rPr>
                <w:rFonts w:ascii="黑体" w:hAnsi="黑体" w:eastAsia="黑体"/>
                <w:bCs/>
                <w:sz w:val="24"/>
                <w:szCs w:val="21"/>
              </w:rPr>
            </w:pPr>
            <w:r>
              <w:rPr>
                <w:rFonts w:hint="eastAsia" w:ascii="黑体" w:hAnsi="黑体" w:eastAsia="黑体"/>
                <w:bCs/>
                <w:sz w:val="24"/>
                <w:szCs w:val="21"/>
              </w:rPr>
              <w:t>长度</w:t>
            </w:r>
          </w:p>
        </w:tc>
        <w:tc>
          <w:tcPr>
            <w:tcW w:w="2523" w:type="dxa"/>
            <w:vAlign w:val="center"/>
          </w:tcPr>
          <w:p>
            <w:pPr>
              <w:jc w:val="center"/>
              <w:rPr>
                <w:rFonts w:ascii="黑体" w:hAnsi="黑体" w:eastAsia="黑体"/>
                <w:bCs/>
                <w:sz w:val="24"/>
                <w:szCs w:val="21"/>
              </w:rPr>
            </w:pPr>
            <w:r>
              <w:rPr>
                <w:rFonts w:hint="eastAsia" w:ascii="黑体" w:hAnsi="黑体" w:eastAsia="黑体"/>
                <w:bCs/>
                <w:sz w:val="24"/>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1" w:type="dxa"/>
            <w:vAlign w:val="center"/>
          </w:tcPr>
          <w:p>
            <w:pPr>
              <w:jc w:val="center"/>
              <w:rPr>
                <w:rFonts w:ascii="仿宋_GB2312" w:eastAsia="仿宋_GB2312"/>
                <w:sz w:val="24"/>
              </w:rPr>
            </w:pPr>
            <w:r>
              <w:rPr>
                <w:rFonts w:hint="eastAsia" w:ascii="仿宋_GB2312" w:eastAsia="仿宋_GB2312"/>
                <w:sz w:val="24"/>
              </w:rPr>
              <w:t>1</w:t>
            </w:r>
          </w:p>
        </w:tc>
        <w:tc>
          <w:tcPr>
            <w:tcW w:w="1380" w:type="dxa"/>
            <w:vAlign w:val="center"/>
          </w:tcPr>
          <w:p>
            <w:pPr>
              <w:jc w:val="center"/>
              <w:rPr>
                <w:rFonts w:ascii="仿宋_GB2312" w:eastAsia="仿宋_GB2312"/>
                <w:sz w:val="24"/>
              </w:rPr>
            </w:pPr>
            <w:r>
              <w:rPr>
                <w:rFonts w:hint="eastAsia" w:ascii="仿宋_GB2312" w:eastAsia="仿宋_GB2312"/>
                <w:sz w:val="24"/>
              </w:rPr>
              <w:t>sfzh</w:t>
            </w:r>
          </w:p>
        </w:tc>
        <w:tc>
          <w:tcPr>
            <w:tcW w:w="2286" w:type="dxa"/>
            <w:vAlign w:val="center"/>
          </w:tcPr>
          <w:p>
            <w:pPr>
              <w:jc w:val="center"/>
              <w:rPr>
                <w:rFonts w:ascii="仿宋_GB2312" w:eastAsia="仿宋_GB2312"/>
                <w:sz w:val="24"/>
              </w:rPr>
            </w:pPr>
            <w:r>
              <w:rPr>
                <w:rFonts w:hint="eastAsia" w:ascii="仿宋_GB2312" w:eastAsia="仿宋_GB2312"/>
                <w:sz w:val="24"/>
              </w:rPr>
              <w:t>身份证号</w:t>
            </w:r>
          </w:p>
        </w:tc>
        <w:tc>
          <w:tcPr>
            <w:tcW w:w="1151" w:type="dxa"/>
            <w:vAlign w:val="center"/>
          </w:tcPr>
          <w:p>
            <w:pPr>
              <w:jc w:val="center"/>
              <w:rPr>
                <w:rFonts w:ascii="仿宋_GB2312" w:eastAsia="仿宋_GB2312"/>
                <w:sz w:val="24"/>
              </w:rPr>
            </w:pPr>
            <w:r>
              <w:rPr>
                <w:rFonts w:hint="eastAsia" w:ascii="仿宋_GB2312" w:eastAsia="仿宋_GB2312"/>
                <w:sz w:val="24"/>
              </w:rPr>
              <w:t>字符型</w:t>
            </w:r>
          </w:p>
        </w:tc>
        <w:tc>
          <w:tcPr>
            <w:tcW w:w="871" w:type="dxa"/>
            <w:vAlign w:val="center"/>
          </w:tcPr>
          <w:p>
            <w:pPr>
              <w:jc w:val="center"/>
              <w:rPr>
                <w:rFonts w:ascii="仿宋_GB2312" w:eastAsia="仿宋_GB2312"/>
                <w:sz w:val="24"/>
              </w:rPr>
            </w:pPr>
            <w:r>
              <w:rPr>
                <w:rFonts w:hint="eastAsia" w:ascii="仿宋_GB2312" w:eastAsia="仿宋_GB2312"/>
                <w:sz w:val="24"/>
              </w:rPr>
              <w:t>18</w:t>
            </w:r>
          </w:p>
        </w:tc>
        <w:tc>
          <w:tcPr>
            <w:tcW w:w="2523"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1" w:type="dxa"/>
            <w:vAlign w:val="center"/>
          </w:tcPr>
          <w:p>
            <w:pPr>
              <w:jc w:val="center"/>
              <w:rPr>
                <w:rFonts w:ascii="仿宋_GB2312" w:eastAsia="仿宋_GB2312"/>
                <w:sz w:val="24"/>
              </w:rPr>
            </w:pPr>
            <w:r>
              <w:rPr>
                <w:rFonts w:hint="eastAsia" w:ascii="仿宋_GB2312" w:eastAsia="仿宋_GB2312"/>
                <w:sz w:val="24"/>
              </w:rPr>
              <w:t>2</w:t>
            </w:r>
          </w:p>
        </w:tc>
        <w:tc>
          <w:tcPr>
            <w:tcW w:w="1380" w:type="dxa"/>
            <w:vAlign w:val="center"/>
          </w:tcPr>
          <w:p>
            <w:pPr>
              <w:jc w:val="center"/>
              <w:rPr>
                <w:rFonts w:ascii="仿宋_GB2312" w:eastAsia="仿宋_GB2312"/>
                <w:sz w:val="24"/>
              </w:rPr>
            </w:pPr>
            <w:r>
              <w:rPr>
                <w:rFonts w:hint="eastAsia" w:ascii="仿宋_GB2312" w:eastAsia="仿宋_GB2312"/>
                <w:sz w:val="24"/>
              </w:rPr>
              <w:t>xm</w:t>
            </w:r>
          </w:p>
        </w:tc>
        <w:tc>
          <w:tcPr>
            <w:tcW w:w="2286" w:type="dxa"/>
            <w:vAlign w:val="center"/>
          </w:tcPr>
          <w:p>
            <w:pPr>
              <w:jc w:val="center"/>
              <w:rPr>
                <w:rFonts w:ascii="仿宋_GB2312" w:eastAsia="仿宋_GB2312"/>
                <w:sz w:val="24"/>
              </w:rPr>
            </w:pPr>
            <w:r>
              <w:rPr>
                <w:rFonts w:hint="eastAsia" w:ascii="仿宋_GB2312" w:eastAsia="仿宋_GB2312"/>
                <w:sz w:val="24"/>
              </w:rPr>
              <w:t>姓名</w:t>
            </w:r>
          </w:p>
        </w:tc>
        <w:tc>
          <w:tcPr>
            <w:tcW w:w="1151" w:type="dxa"/>
            <w:vAlign w:val="center"/>
          </w:tcPr>
          <w:p>
            <w:pPr>
              <w:jc w:val="center"/>
              <w:rPr>
                <w:rFonts w:ascii="仿宋_GB2312" w:eastAsia="仿宋_GB2312"/>
                <w:sz w:val="24"/>
              </w:rPr>
            </w:pPr>
            <w:r>
              <w:rPr>
                <w:rFonts w:hint="eastAsia" w:ascii="仿宋_GB2312" w:eastAsia="仿宋_GB2312"/>
                <w:sz w:val="24"/>
              </w:rPr>
              <w:t>字符型</w:t>
            </w:r>
          </w:p>
        </w:tc>
        <w:tc>
          <w:tcPr>
            <w:tcW w:w="871" w:type="dxa"/>
            <w:vAlign w:val="center"/>
          </w:tcPr>
          <w:p>
            <w:pPr>
              <w:jc w:val="center"/>
              <w:rPr>
                <w:rFonts w:ascii="仿宋_GB2312" w:eastAsia="仿宋_GB2312"/>
                <w:sz w:val="24"/>
              </w:rPr>
            </w:pPr>
            <w:r>
              <w:rPr>
                <w:rFonts w:hint="eastAsia" w:ascii="仿宋_GB2312" w:eastAsia="仿宋_GB2312"/>
                <w:sz w:val="24"/>
              </w:rPr>
              <w:t>40</w:t>
            </w:r>
          </w:p>
        </w:tc>
        <w:tc>
          <w:tcPr>
            <w:tcW w:w="2523"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1" w:type="dxa"/>
            <w:vAlign w:val="center"/>
          </w:tcPr>
          <w:p>
            <w:pPr>
              <w:jc w:val="center"/>
              <w:rPr>
                <w:rFonts w:ascii="仿宋_GB2312" w:eastAsia="仿宋_GB2312"/>
                <w:sz w:val="24"/>
              </w:rPr>
            </w:pPr>
            <w:r>
              <w:rPr>
                <w:rFonts w:hint="eastAsia" w:ascii="仿宋_GB2312" w:eastAsia="仿宋_GB2312"/>
                <w:sz w:val="24"/>
              </w:rPr>
              <w:t>3</w:t>
            </w:r>
          </w:p>
        </w:tc>
        <w:tc>
          <w:tcPr>
            <w:tcW w:w="1380" w:type="dxa"/>
            <w:vAlign w:val="center"/>
          </w:tcPr>
          <w:p>
            <w:pPr>
              <w:jc w:val="center"/>
              <w:rPr>
                <w:rFonts w:ascii="仿宋_GB2312" w:eastAsia="仿宋_GB2312"/>
                <w:sz w:val="24"/>
              </w:rPr>
            </w:pPr>
            <w:r>
              <w:rPr>
                <w:rFonts w:hint="eastAsia" w:ascii="仿宋_GB2312" w:eastAsia="仿宋_GB2312"/>
                <w:sz w:val="24"/>
              </w:rPr>
              <w:t>xb</w:t>
            </w:r>
          </w:p>
        </w:tc>
        <w:tc>
          <w:tcPr>
            <w:tcW w:w="2286" w:type="dxa"/>
            <w:vAlign w:val="center"/>
          </w:tcPr>
          <w:p>
            <w:pPr>
              <w:jc w:val="center"/>
              <w:rPr>
                <w:rFonts w:ascii="仿宋_GB2312" w:eastAsia="仿宋_GB2312"/>
                <w:sz w:val="24"/>
              </w:rPr>
            </w:pPr>
            <w:r>
              <w:rPr>
                <w:rFonts w:hint="eastAsia" w:ascii="仿宋_GB2312" w:eastAsia="仿宋_GB2312"/>
                <w:sz w:val="24"/>
              </w:rPr>
              <w:t>性别</w:t>
            </w:r>
          </w:p>
        </w:tc>
        <w:tc>
          <w:tcPr>
            <w:tcW w:w="1151" w:type="dxa"/>
            <w:vAlign w:val="center"/>
          </w:tcPr>
          <w:p>
            <w:pPr>
              <w:jc w:val="center"/>
              <w:rPr>
                <w:rFonts w:ascii="仿宋_GB2312" w:eastAsia="仿宋_GB2312"/>
                <w:sz w:val="24"/>
              </w:rPr>
            </w:pPr>
            <w:r>
              <w:rPr>
                <w:rFonts w:hint="eastAsia" w:ascii="仿宋_GB2312" w:eastAsia="仿宋_GB2312"/>
                <w:sz w:val="24"/>
              </w:rPr>
              <w:t>字符型</w:t>
            </w:r>
          </w:p>
        </w:tc>
        <w:tc>
          <w:tcPr>
            <w:tcW w:w="871" w:type="dxa"/>
            <w:vAlign w:val="center"/>
          </w:tcPr>
          <w:p>
            <w:pPr>
              <w:jc w:val="center"/>
              <w:rPr>
                <w:rFonts w:ascii="仿宋_GB2312" w:eastAsia="仿宋_GB2312"/>
                <w:sz w:val="24"/>
              </w:rPr>
            </w:pPr>
            <w:r>
              <w:rPr>
                <w:rFonts w:hint="eastAsia" w:ascii="仿宋_GB2312" w:eastAsia="仿宋_GB2312"/>
                <w:sz w:val="24"/>
              </w:rPr>
              <w:t>2</w:t>
            </w:r>
          </w:p>
        </w:tc>
        <w:tc>
          <w:tcPr>
            <w:tcW w:w="2523" w:type="dxa"/>
            <w:vAlign w:val="center"/>
          </w:tcPr>
          <w:p>
            <w:pPr>
              <w:jc w:val="center"/>
              <w:rPr>
                <w:rFonts w:ascii="仿宋_GB2312" w:eastAsia="仿宋_GB2312"/>
                <w:sz w:val="24"/>
              </w:rPr>
            </w:pPr>
            <w:r>
              <w:rPr>
                <w:rFonts w:hint="eastAsia" w:ascii="仿宋_GB2312" w:eastAsia="仿宋_GB2312"/>
                <w:sz w:val="24"/>
              </w:rPr>
              <w:t>男、女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1" w:type="dxa"/>
            <w:vAlign w:val="center"/>
          </w:tcPr>
          <w:p>
            <w:pPr>
              <w:jc w:val="center"/>
              <w:rPr>
                <w:rFonts w:ascii="仿宋_GB2312" w:eastAsia="仿宋_GB2312"/>
                <w:sz w:val="24"/>
              </w:rPr>
            </w:pPr>
            <w:r>
              <w:rPr>
                <w:rFonts w:hint="eastAsia" w:ascii="仿宋_GB2312" w:eastAsia="仿宋_GB2312"/>
                <w:sz w:val="24"/>
              </w:rPr>
              <w:t>4</w:t>
            </w:r>
          </w:p>
        </w:tc>
        <w:tc>
          <w:tcPr>
            <w:tcW w:w="1380" w:type="dxa"/>
            <w:vAlign w:val="center"/>
          </w:tcPr>
          <w:p>
            <w:pPr>
              <w:jc w:val="center"/>
              <w:rPr>
                <w:rFonts w:ascii="仿宋_GB2312" w:eastAsia="仿宋_GB2312"/>
                <w:sz w:val="24"/>
              </w:rPr>
            </w:pPr>
            <w:r>
              <w:rPr>
                <w:rFonts w:hint="eastAsia" w:ascii="仿宋_GB2312" w:eastAsia="仿宋_GB2312"/>
                <w:sz w:val="24"/>
              </w:rPr>
              <w:t>sbtyzbh</w:t>
            </w:r>
          </w:p>
        </w:tc>
        <w:tc>
          <w:tcPr>
            <w:tcW w:w="2286" w:type="dxa"/>
            <w:vAlign w:val="center"/>
          </w:tcPr>
          <w:p>
            <w:pPr>
              <w:jc w:val="center"/>
              <w:rPr>
                <w:rFonts w:ascii="仿宋_GB2312" w:eastAsia="仿宋_GB2312"/>
                <w:sz w:val="24"/>
              </w:rPr>
            </w:pPr>
            <w:r>
              <w:rPr>
                <w:rFonts w:hint="eastAsia" w:ascii="仿宋_GB2312" w:eastAsia="仿宋_GB2312"/>
                <w:sz w:val="24"/>
              </w:rPr>
              <w:t>士兵退役证编号</w:t>
            </w:r>
          </w:p>
        </w:tc>
        <w:tc>
          <w:tcPr>
            <w:tcW w:w="1151" w:type="dxa"/>
            <w:vAlign w:val="center"/>
          </w:tcPr>
          <w:p>
            <w:pPr>
              <w:jc w:val="center"/>
              <w:rPr>
                <w:rFonts w:ascii="仿宋_GB2312" w:eastAsia="仿宋_GB2312"/>
                <w:sz w:val="24"/>
              </w:rPr>
            </w:pPr>
            <w:r>
              <w:rPr>
                <w:rFonts w:hint="eastAsia" w:ascii="仿宋_GB2312" w:eastAsia="仿宋_GB2312"/>
                <w:sz w:val="24"/>
              </w:rPr>
              <w:t>字符型</w:t>
            </w:r>
          </w:p>
        </w:tc>
        <w:tc>
          <w:tcPr>
            <w:tcW w:w="871" w:type="dxa"/>
            <w:vAlign w:val="center"/>
          </w:tcPr>
          <w:p>
            <w:pPr>
              <w:jc w:val="center"/>
              <w:rPr>
                <w:rFonts w:ascii="仿宋_GB2312" w:eastAsia="仿宋_GB2312"/>
                <w:sz w:val="24"/>
              </w:rPr>
            </w:pPr>
            <w:r>
              <w:rPr>
                <w:rFonts w:hint="eastAsia" w:ascii="仿宋_GB2312" w:eastAsia="仿宋_GB2312"/>
                <w:sz w:val="24"/>
              </w:rPr>
              <w:t>20</w:t>
            </w:r>
          </w:p>
        </w:tc>
        <w:tc>
          <w:tcPr>
            <w:tcW w:w="2523" w:type="dxa"/>
            <w:vAlign w:val="center"/>
          </w:tcPr>
          <w:p>
            <w:pPr>
              <w:jc w:val="center"/>
              <w:rPr>
                <w:rFonts w:ascii="仿宋_GB2312" w:eastAsia="仿宋_GB2312"/>
                <w:sz w:val="24"/>
              </w:rPr>
            </w:pPr>
            <w:r>
              <w:rPr>
                <w:rFonts w:hint="eastAsia" w:ascii="仿宋_GB2312" w:eastAsia="仿宋_GB2312"/>
                <w:sz w:val="24"/>
              </w:rPr>
              <w:t>例：济退字第000001号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1" w:type="dxa"/>
            <w:vAlign w:val="center"/>
          </w:tcPr>
          <w:p>
            <w:pPr>
              <w:jc w:val="center"/>
              <w:rPr>
                <w:rFonts w:ascii="仿宋_GB2312" w:eastAsia="仿宋_GB2312"/>
                <w:sz w:val="24"/>
              </w:rPr>
            </w:pPr>
            <w:r>
              <w:rPr>
                <w:rFonts w:hint="eastAsia" w:ascii="仿宋_GB2312" w:eastAsia="仿宋_GB2312"/>
                <w:sz w:val="24"/>
              </w:rPr>
              <w:t>5</w:t>
            </w:r>
          </w:p>
        </w:tc>
        <w:tc>
          <w:tcPr>
            <w:tcW w:w="1380" w:type="dxa"/>
            <w:vAlign w:val="center"/>
          </w:tcPr>
          <w:p>
            <w:pPr>
              <w:jc w:val="center"/>
              <w:rPr>
                <w:rFonts w:ascii="仿宋_GB2312" w:eastAsia="仿宋_GB2312"/>
                <w:sz w:val="24"/>
              </w:rPr>
            </w:pPr>
            <w:r>
              <w:rPr>
                <w:rFonts w:hint="eastAsia" w:ascii="仿宋_GB2312" w:eastAsia="仿宋_GB2312"/>
                <w:sz w:val="24"/>
              </w:rPr>
              <w:t>byzsbh</w:t>
            </w:r>
          </w:p>
        </w:tc>
        <w:tc>
          <w:tcPr>
            <w:tcW w:w="2286" w:type="dxa"/>
            <w:vAlign w:val="center"/>
          </w:tcPr>
          <w:p>
            <w:pPr>
              <w:jc w:val="center"/>
              <w:rPr>
                <w:rFonts w:ascii="仿宋_GB2312" w:eastAsia="仿宋_GB2312"/>
                <w:sz w:val="24"/>
              </w:rPr>
            </w:pPr>
            <w:r>
              <w:rPr>
                <w:rFonts w:hint="eastAsia" w:ascii="仿宋_GB2312" w:eastAsia="仿宋_GB2312"/>
                <w:sz w:val="24"/>
              </w:rPr>
              <w:t>毕业证书编号</w:t>
            </w:r>
          </w:p>
        </w:tc>
        <w:tc>
          <w:tcPr>
            <w:tcW w:w="1151" w:type="dxa"/>
            <w:vAlign w:val="center"/>
          </w:tcPr>
          <w:p>
            <w:pPr>
              <w:jc w:val="center"/>
              <w:rPr>
                <w:rFonts w:ascii="仿宋_GB2312" w:eastAsia="仿宋_GB2312"/>
                <w:sz w:val="24"/>
              </w:rPr>
            </w:pPr>
            <w:r>
              <w:rPr>
                <w:rFonts w:hint="eastAsia" w:ascii="仿宋_GB2312" w:eastAsia="仿宋_GB2312"/>
                <w:sz w:val="24"/>
              </w:rPr>
              <w:t>字符型</w:t>
            </w:r>
          </w:p>
        </w:tc>
        <w:tc>
          <w:tcPr>
            <w:tcW w:w="871" w:type="dxa"/>
            <w:vAlign w:val="center"/>
          </w:tcPr>
          <w:p>
            <w:pPr>
              <w:jc w:val="center"/>
              <w:rPr>
                <w:rFonts w:ascii="仿宋_GB2312" w:eastAsia="仿宋_GB2312"/>
                <w:sz w:val="24"/>
              </w:rPr>
            </w:pPr>
            <w:r>
              <w:rPr>
                <w:rFonts w:hint="eastAsia" w:ascii="仿宋_GB2312" w:eastAsia="仿宋_GB2312"/>
                <w:sz w:val="24"/>
              </w:rPr>
              <w:t>18</w:t>
            </w:r>
          </w:p>
        </w:tc>
        <w:tc>
          <w:tcPr>
            <w:tcW w:w="2523"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1" w:type="dxa"/>
            <w:vAlign w:val="center"/>
          </w:tcPr>
          <w:p>
            <w:pPr>
              <w:jc w:val="center"/>
              <w:rPr>
                <w:rFonts w:ascii="仿宋_GB2312" w:eastAsia="仿宋_GB2312"/>
                <w:sz w:val="24"/>
              </w:rPr>
            </w:pPr>
            <w:r>
              <w:rPr>
                <w:rFonts w:hint="eastAsia" w:ascii="仿宋_GB2312" w:eastAsia="仿宋_GB2312"/>
                <w:sz w:val="24"/>
              </w:rPr>
              <w:t>6</w:t>
            </w:r>
          </w:p>
        </w:tc>
        <w:tc>
          <w:tcPr>
            <w:tcW w:w="1380" w:type="dxa"/>
            <w:vAlign w:val="center"/>
          </w:tcPr>
          <w:p>
            <w:pPr>
              <w:jc w:val="center"/>
              <w:rPr>
                <w:rFonts w:ascii="仿宋_GB2312" w:eastAsia="仿宋_GB2312"/>
                <w:sz w:val="24"/>
              </w:rPr>
            </w:pPr>
            <w:r>
              <w:rPr>
                <w:rFonts w:hint="eastAsia" w:ascii="仿宋_GB2312" w:eastAsia="仿宋_GB2312"/>
                <w:sz w:val="24"/>
              </w:rPr>
              <w:t>kswyyzdm</w:t>
            </w:r>
          </w:p>
        </w:tc>
        <w:tc>
          <w:tcPr>
            <w:tcW w:w="2286" w:type="dxa"/>
            <w:vAlign w:val="center"/>
          </w:tcPr>
          <w:p>
            <w:pPr>
              <w:jc w:val="center"/>
              <w:rPr>
                <w:rFonts w:ascii="仿宋_GB2312" w:eastAsia="仿宋_GB2312"/>
                <w:sz w:val="24"/>
              </w:rPr>
            </w:pPr>
            <w:r>
              <w:rPr>
                <w:rFonts w:hint="eastAsia" w:ascii="仿宋_GB2312" w:eastAsia="仿宋_GB2312"/>
                <w:sz w:val="24"/>
              </w:rPr>
              <w:t>考生外语语种</w:t>
            </w:r>
          </w:p>
          <w:p>
            <w:pPr>
              <w:jc w:val="center"/>
              <w:rPr>
                <w:rFonts w:ascii="仿宋_GB2312" w:eastAsia="仿宋_GB2312"/>
                <w:sz w:val="24"/>
              </w:rPr>
            </w:pPr>
            <w:r>
              <w:rPr>
                <w:rFonts w:hint="eastAsia" w:ascii="仿宋_GB2312" w:eastAsia="仿宋_GB2312"/>
                <w:sz w:val="24"/>
              </w:rPr>
              <w:t>代码</w:t>
            </w:r>
          </w:p>
        </w:tc>
        <w:tc>
          <w:tcPr>
            <w:tcW w:w="1151" w:type="dxa"/>
            <w:vAlign w:val="center"/>
          </w:tcPr>
          <w:p>
            <w:pPr>
              <w:jc w:val="center"/>
              <w:rPr>
                <w:rFonts w:ascii="仿宋_GB2312" w:eastAsia="仿宋_GB2312"/>
                <w:sz w:val="24"/>
              </w:rPr>
            </w:pPr>
            <w:r>
              <w:rPr>
                <w:rFonts w:hint="eastAsia" w:ascii="仿宋_GB2312" w:eastAsia="仿宋_GB2312"/>
                <w:sz w:val="24"/>
              </w:rPr>
              <w:t>字符型</w:t>
            </w:r>
          </w:p>
        </w:tc>
        <w:tc>
          <w:tcPr>
            <w:tcW w:w="871" w:type="dxa"/>
            <w:vAlign w:val="center"/>
          </w:tcPr>
          <w:p>
            <w:pPr>
              <w:jc w:val="center"/>
              <w:rPr>
                <w:rFonts w:ascii="仿宋_GB2312" w:eastAsia="仿宋_GB2312"/>
                <w:sz w:val="24"/>
              </w:rPr>
            </w:pPr>
            <w:r>
              <w:rPr>
                <w:rFonts w:hint="eastAsia" w:ascii="仿宋_GB2312" w:eastAsia="仿宋_GB2312"/>
                <w:sz w:val="24"/>
              </w:rPr>
              <w:t>1</w:t>
            </w:r>
          </w:p>
        </w:tc>
        <w:tc>
          <w:tcPr>
            <w:tcW w:w="2523" w:type="dxa"/>
            <w:vAlign w:val="center"/>
          </w:tcPr>
          <w:p>
            <w:pPr>
              <w:jc w:val="center"/>
              <w:rPr>
                <w:rFonts w:ascii="仿宋_GB2312" w:eastAsia="仿宋_GB2312"/>
                <w:sz w:val="24"/>
              </w:rPr>
            </w:pPr>
            <w:r>
              <w:rPr>
                <w:rFonts w:hint="eastAsia" w:ascii="仿宋_GB2312" w:eastAsia="仿宋_GB2312"/>
                <w:sz w:val="24"/>
              </w:rPr>
              <w:t>1英语</w:t>
            </w:r>
          </w:p>
          <w:p>
            <w:pPr>
              <w:jc w:val="center"/>
              <w:rPr>
                <w:rFonts w:ascii="仿宋_GB2312" w:eastAsia="仿宋_GB2312"/>
                <w:sz w:val="24"/>
              </w:rPr>
            </w:pPr>
            <w:r>
              <w:rPr>
                <w:rFonts w:hint="eastAsia" w:ascii="仿宋_GB2312" w:eastAsia="仿宋_GB2312"/>
                <w:sz w:val="24"/>
              </w:rPr>
              <w:t>2日语</w:t>
            </w:r>
          </w:p>
          <w:p>
            <w:pPr>
              <w:jc w:val="center"/>
              <w:rPr>
                <w:rFonts w:ascii="仿宋_GB2312" w:eastAsia="仿宋_GB2312"/>
                <w:sz w:val="24"/>
              </w:rPr>
            </w:pPr>
            <w:r>
              <w:rPr>
                <w:rFonts w:hint="eastAsia" w:ascii="仿宋_GB2312" w:eastAsia="仿宋_GB2312"/>
                <w:sz w:val="24"/>
              </w:rPr>
              <w:t>3俄语</w:t>
            </w:r>
          </w:p>
          <w:p>
            <w:pPr>
              <w:jc w:val="center"/>
              <w:rPr>
                <w:rFonts w:ascii="仿宋_GB2312" w:eastAsia="仿宋_GB2312"/>
                <w:sz w:val="24"/>
              </w:rPr>
            </w:pPr>
            <w:r>
              <w:rPr>
                <w:rFonts w:hint="eastAsia" w:ascii="仿宋_GB2312" w:eastAsia="仿宋_GB2312"/>
                <w:sz w:val="24"/>
              </w:rPr>
              <w:t>4大学语文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1" w:type="dxa"/>
            <w:vAlign w:val="center"/>
          </w:tcPr>
          <w:p>
            <w:pPr>
              <w:jc w:val="center"/>
              <w:rPr>
                <w:rFonts w:ascii="仿宋_GB2312" w:eastAsia="仿宋_GB2312"/>
                <w:sz w:val="24"/>
              </w:rPr>
            </w:pPr>
            <w:r>
              <w:rPr>
                <w:rFonts w:hint="eastAsia" w:ascii="仿宋_GB2312" w:eastAsia="仿宋_GB2312"/>
                <w:sz w:val="24"/>
              </w:rPr>
              <w:t>7</w:t>
            </w:r>
          </w:p>
        </w:tc>
        <w:tc>
          <w:tcPr>
            <w:tcW w:w="1380" w:type="dxa"/>
            <w:vAlign w:val="center"/>
          </w:tcPr>
          <w:p>
            <w:pPr>
              <w:jc w:val="center"/>
              <w:rPr>
                <w:rFonts w:ascii="仿宋_GB2312" w:eastAsia="仿宋_GB2312"/>
                <w:sz w:val="24"/>
              </w:rPr>
            </w:pPr>
            <w:r>
              <w:rPr>
                <w:rFonts w:hint="eastAsia" w:ascii="仿宋_GB2312" w:eastAsia="仿宋_GB2312"/>
                <w:sz w:val="24"/>
              </w:rPr>
              <w:t>byxxmc</w:t>
            </w:r>
          </w:p>
        </w:tc>
        <w:tc>
          <w:tcPr>
            <w:tcW w:w="2286" w:type="dxa"/>
            <w:vAlign w:val="center"/>
          </w:tcPr>
          <w:p>
            <w:pPr>
              <w:jc w:val="center"/>
              <w:rPr>
                <w:rFonts w:ascii="仿宋_GB2312" w:eastAsia="仿宋_GB2312"/>
                <w:sz w:val="24"/>
              </w:rPr>
            </w:pPr>
            <w:r>
              <w:rPr>
                <w:rFonts w:hint="eastAsia" w:ascii="仿宋_GB2312" w:eastAsia="仿宋_GB2312"/>
                <w:sz w:val="24"/>
              </w:rPr>
              <w:t>毕业学校名称</w:t>
            </w:r>
          </w:p>
        </w:tc>
        <w:tc>
          <w:tcPr>
            <w:tcW w:w="1151" w:type="dxa"/>
            <w:vAlign w:val="center"/>
          </w:tcPr>
          <w:p>
            <w:pPr>
              <w:jc w:val="center"/>
              <w:rPr>
                <w:rFonts w:ascii="仿宋_GB2312" w:eastAsia="仿宋_GB2312"/>
                <w:sz w:val="24"/>
              </w:rPr>
            </w:pPr>
            <w:r>
              <w:rPr>
                <w:rFonts w:hint="eastAsia" w:ascii="仿宋_GB2312" w:eastAsia="仿宋_GB2312"/>
                <w:sz w:val="24"/>
              </w:rPr>
              <w:t>字符型</w:t>
            </w:r>
          </w:p>
        </w:tc>
        <w:tc>
          <w:tcPr>
            <w:tcW w:w="871" w:type="dxa"/>
            <w:vAlign w:val="center"/>
          </w:tcPr>
          <w:p>
            <w:pPr>
              <w:jc w:val="center"/>
              <w:rPr>
                <w:rFonts w:ascii="仿宋_GB2312" w:eastAsia="仿宋_GB2312"/>
                <w:sz w:val="24"/>
              </w:rPr>
            </w:pPr>
            <w:r>
              <w:rPr>
                <w:rFonts w:hint="eastAsia" w:ascii="仿宋_GB2312" w:eastAsia="仿宋_GB2312"/>
                <w:sz w:val="24"/>
              </w:rPr>
              <w:t>254</w:t>
            </w:r>
          </w:p>
        </w:tc>
        <w:tc>
          <w:tcPr>
            <w:tcW w:w="2523"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61" w:type="dxa"/>
            <w:vAlign w:val="center"/>
          </w:tcPr>
          <w:p>
            <w:pPr>
              <w:jc w:val="center"/>
              <w:rPr>
                <w:rFonts w:ascii="仿宋_GB2312" w:eastAsia="仿宋_GB2312"/>
                <w:sz w:val="24"/>
              </w:rPr>
            </w:pPr>
            <w:r>
              <w:rPr>
                <w:rFonts w:hint="eastAsia" w:ascii="仿宋_GB2312" w:eastAsia="仿宋_GB2312"/>
                <w:sz w:val="24"/>
              </w:rPr>
              <w:t>8</w:t>
            </w:r>
          </w:p>
        </w:tc>
        <w:tc>
          <w:tcPr>
            <w:tcW w:w="1380" w:type="dxa"/>
            <w:vAlign w:val="center"/>
          </w:tcPr>
          <w:p>
            <w:pPr>
              <w:jc w:val="center"/>
              <w:rPr>
                <w:rFonts w:ascii="仿宋_GB2312" w:eastAsia="仿宋_GB2312"/>
                <w:sz w:val="24"/>
              </w:rPr>
            </w:pPr>
            <w:r>
              <w:rPr>
                <w:rFonts w:hint="eastAsia" w:ascii="仿宋_GB2312" w:eastAsia="仿宋_GB2312"/>
                <w:sz w:val="24"/>
              </w:rPr>
              <w:t>byzymc</w:t>
            </w:r>
          </w:p>
        </w:tc>
        <w:tc>
          <w:tcPr>
            <w:tcW w:w="2286" w:type="dxa"/>
            <w:vAlign w:val="center"/>
          </w:tcPr>
          <w:p>
            <w:pPr>
              <w:jc w:val="center"/>
              <w:rPr>
                <w:rFonts w:ascii="仿宋_GB2312" w:eastAsia="仿宋_GB2312"/>
                <w:sz w:val="24"/>
              </w:rPr>
            </w:pPr>
            <w:r>
              <w:rPr>
                <w:rFonts w:hint="eastAsia" w:ascii="仿宋_GB2312" w:eastAsia="仿宋_GB2312"/>
                <w:sz w:val="24"/>
              </w:rPr>
              <w:t>毕业专业名称</w:t>
            </w:r>
          </w:p>
        </w:tc>
        <w:tc>
          <w:tcPr>
            <w:tcW w:w="1151" w:type="dxa"/>
            <w:vAlign w:val="center"/>
          </w:tcPr>
          <w:p>
            <w:pPr>
              <w:jc w:val="center"/>
              <w:rPr>
                <w:rFonts w:ascii="仿宋_GB2312" w:eastAsia="仿宋_GB2312"/>
                <w:sz w:val="24"/>
              </w:rPr>
            </w:pPr>
            <w:r>
              <w:rPr>
                <w:rFonts w:hint="eastAsia" w:ascii="仿宋_GB2312" w:eastAsia="仿宋_GB2312"/>
                <w:sz w:val="24"/>
              </w:rPr>
              <w:t>字符型</w:t>
            </w:r>
          </w:p>
        </w:tc>
        <w:tc>
          <w:tcPr>
            <w:tcW w:w="871" w:type="dxa"/>
            <w:vAlign w:val="center"/>
          </w:tcPr>
          <w:p>
            <w:pPr>
              <w:jc w:val="center"/>
              <w:rPr>
                <w:rFonts w:ascii="仿宋_GB2312" w:eastAsia="仿宋_GB2312"/>
                <w:sz w:val="24"/>
              </w:rPr>
            </w:pPr>
            <w:r>
              <w:rPr>
                <w:rFonts w:hint="eastAsia" w:ascii="仿宋_GB2312" w:eastAsia="仿宋_GB2312"/>
                <w:sz w:val="24"/>
              </w:rPr>
              <w:t>254</w:t>
            </w:r>
          </w:p>
        </w:tc>
        <w:tc>
          <w:tcPr>
            <w:tcW w:w="2523" w:type="dxa"/>
            <w:vAlign w:val="center"/>
          </w:tcPr>
          <w:p>
            <w:pPr>
              <w:jc w:val="center"/>
              <w:rPr>
                <w:rFonts w:ascii="仿宋_GB2312" w:eastAsia="仿宋_GB2312"/>
                <w:sz w:val="24"/>
              </w:rPr>
            </w:pPr>
          </w:p>
        </w:tc>
      </w:tr>
    </w:tbl>
    <w:p>
      <w:pPr>
        <w:spacing w:afterLines="100" w:line="640" w:lineRule="exact"/>
        <w:rPr>
          <w:rFonts w:ascii="仿宋_GB2312" w:hAnsi="仿宋_GB2312" w:eastAsia="仿宋_GB2312" w:cs="仿宋_GB2312"/>
          <w:sz w:val="44"/>
          <w:szCs w:val="44"/>
        </w:rPr>
      </w:pPr>
    </w:p>
    <w:p>
      <w:pPr>
        <w:spacing w:line="500" w:lineRule="exact"/>
        <w:rPr>
          <w:rFonts w:ascii="黑体" w:hAnsi="黑体" w:eastAsia="黑体"/>
          <w:sz w:val="32"/>
          <w:szCs w:val="32"/>
        </w:rPr>
      </w:pPr>
      <w:r>
        <w:rPr>
          <w:rFonts w:hint="eastAsia" w:ascii="汉仪中黑简" w:hAnsi="宋体" w:eastAsia="汉仪中黑简"/>
          <w:sz w:val="32"/>
          <w:szCs w:val="32"/>
        </w:rPr>
        <w:br w:type="page"/>
      </w:r>
      <w:r>
        <w:rPr>
          <w:rFonts w:hint="eastAsia" w:ascii="黑体" w:hAnsi="黑体" w:eastAsia="黑体"/>
          <w:sz w:val="32"/>
          <w:szCs w:val="32"/>
        </w:rPr>
        <w:t>附件12</w:t>
      </w:r>
    </w:p>
    <w:p>
      <w:pPr>
        <w:spacing w:line="580" w:lineRule="exact"/>
        <w:jc w:val="center"/>
        <w:rPr>
          <w:rFonts w:ascii="方正小标宋简体" w:eastAsia="方正小标宋简体"/>
          <w:bCs/>
          <w:sz w:val="44"/>
          <w:szCs w:val="44"/>
        </w:rPr>
      </w:pPr>
      <w:r>
        <w:rPr>
          <w:rFonts w:hint="eastAsia" w:ascii="方正小标宋简体" w:eastAsia="方正小标宋简体"/>
          <w:bCs/>
          <w:sz w:val="44"/>
          <w:szCs w:val="44"/>
        </w:rPr>
        <w:t>山东省2019年普通高等教育专升本考生过程性</w:t>
      </w:r>
      <w:r>
        <w:rPr>
          <w:rFonts w:hint="eastAsia" w:ascii="方正小标宋简体" w:eastAsia="方正小标宋简体"/>
          <w:bCs/>
          <w:sz w:val="44"/>
          <w:szCs w:val="44"/>
        </w:rPr>
        <w:br w:type="textWrapping"/>
      </w:r>
      <w:r>
        <w:rPr>
          <w:rFonts w:hint="eastAsia" w:ascii="方正小标宋简体" w:eastAsia="方正小标宋简体"/>
          <w:bCs/>
          <w:sz w:val="44"/>
          <w:szCs w:val="44"/>
        </w:rPr>
        <w:t>考核电子档案数据格式</w:t>
      </w:r>
    </w:p>
    <w:p>
      <w:pPr>
        <w:spacing w:before="24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学校代码：               学校名称：               </w:t>
      </w:r>
    </w:p>
    <w:tbl>
      <w:tblPr>
        <w:tblStyle w:val="14"/>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672"/>
        <w:gridCol w:w="2266"/>
        <w:gridCol w:w="807"/>
        <w:gridCol w:w="343"/>
        <w:gridCol w:w="67"/>
        <w:gridCol w:w="184"/>
        <w:gridCol w:w="1613"/>
        <w:gridCol w:w="930"/>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6" w:type="dxa"/>
            <w:gridSpan w:val="2"/>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考生姓名</w:t>
            </w:r>
          </w:p>
        </w:tc>
        <w:tc>
          <w:tcPr>
            <w:tcW w:w="2266" w:type="dxa"/>
            <w:vAlign w:val="center"/>
          </w:tcPr>
          <w:p>
            <w:pPr>
              <w:adjustRightInd w:val="0"/>
              <w:snapToGrid w:val="0"/>
              <w:jc w:val="center"/>
              <w:rPr>
                <w:rFonts w:ascii="仿宋_GB2312" w:eastAsia="仿宋_GB2312"/>
                <w:sz w:val="24"/>
                <w:szCs w:val="21"/>
              </w:rPr>
            </w:pPr>
          </w:p>
        </w:tc>
        <w:tc>
          <w:tcPr>
            <w:tcW w:w="807" w:type="dxa"/>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性别</w:t>
            </w:r>
          </w:p>
        </w:tc>
        <w:tc>
          <w:tcPr>
            <w:tcW w:w="594" w:type="dxa"/>
            <w:gridSpan w:val="3"/>
            <w:vAlign w:val="center"/>
          </w:tcPr>
          <w:p>
            <w:pPr>
              <w:adjustRightInd w:val="0"/>
              <w:snapToGrid w:val="0"/>
              <w:jc w:val="center"/>
              <w:rPr>
                <w:rFonts w:ascii="仿宋_GB2312" w:eastAsia="仿宋_GB2312"/>
                <w:sz w:val="24"/>
                <w:szCs w:val="21"/>
              </w:rPr>
            </w:pPr>
          </w:p>
        </w:tc>
        <w:tc>
          <w:tcPr>
            <w:tcW w:w="1613" w:type="dxa"/>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身份证号</w:t>
            </w:r>
          </w:p>
        </w:tc>
        <w:tc>
          <w:tcPr>
            <w:tcW w:w="2496" w:type="dxa"/>
            <w:gridSpan w:val="2"/>
            <w:vAlign w:val="center"/>
          </w:tcPr>
          <w:p>
            <w:pPr>
              <w:adjustRightInd w:val="0"/>
              <w:snapToGrid w:val="0"/>
              <w:jc w:val="center"/>
              <w:rPr>
                <w:rFonts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562" w:type="dxa"/>
            <w:gridSpan w:val="3"/>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专科（高职）入学时间</w:t>
            </w:r>
          </w:p>
        </w:tc>
        <w:tc>
          <w:tcPr>
            <w:tcW w:w="1150" w:type="dxa"/>
            <w:gridSpan w:val="2"/>
            <w:vAlign w:val="center"/>
          </w:tcPr>
          <w:p>
            <w:pPr>
              <w:adjustRightInd w:val="0"/>
              <w:snapToGrid w:val="0"/>
              <w:jc w:val="center"/>
              <w:rPr>
                <w:rFonts w:ascii="仿宋_GB2312" w:eastAsia="仿宋_GB2312"/>
                <w:sz w:val="24"/>
                <w:szCs w:val="21"/>
              </w:rPr>
            </w:pPr>
          </w:p>
        </w:tc>
        <w:tc>
          <w:tcPr>
            <w:tcW w:w="2794" w:type="dxa"/>
            <w:gridSpan w:val="4"/>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专科（高职）毕业时间</w:t>
            </w:r>
          </w:p>
        </w:tc>
        <w:tc>
          <w:tcPr>
            <w:tcW w:w="1566" w:type="dxa"/>
            <w:vAlign w:val="center"/>
          </w:tcPr>
          <w:p>
            <w:pPr>
              <w:adjustRightInd w:val="0"/>
              <w:snapToGrid w:val="0"/>
              <w:jc w:val="center"/>
              <w:rPr>
                <w:rFonts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562" w:type="dxa"/>
            <w:gridSpan w:val="3"/>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专科（高职）毕业学校</w:t>
            </w:r>
          </w:p>
        </w:tc>
        <w:tc>
          <w:tcPr>
            <w:tcW w:w="1150" w:type="dxa"/>
            <w:gridSpan w:val="2"/>
            <w:vAlign w:val="center"/>
          </w:tcPr>
          <w:p>
            <w:pPr>
              <w:adjustRightInd w:val="0"/>
              <w:snapToGrid w:val="0"/>
              <w:jc w:val="center"/>
              <w:rPr>
                <w:rFonts w:ascii="仿宋_GB2312" w:eastAsia="仿宋_GB2312"/>
                <w:sz w:val="24"/>
                <w:szCs w:val="21"/>
              </w:rPr>
            </w:pPr>
          </w:p>
        </w:tc>
        <w:tc>
          <w:tcPr>
            <w:tcW w:w="2794" w:type="dxa"/>
            <w:gridSpan w:val="4"/>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专科（高职）毕业专业</w:t>
            </w:r>
          </w:p>
        </w:tc>
        <w:tc>
          <w:tcPr>
            <w:tcW w:w="1566" w:type="dxa"/>
            <w:vAlign w:val="center"/>
          </w:tcPr>
          <w:p>
            <w:pPr>
              <w:adjustRightInd w:val="0"/>
              <w:snapToGrid w:val="0"/>
              <w:jc w:val="center"/>
              <w:rPr>
                <w:rFonts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624" w:type="dxa"/>
            <w:vMerge w:val="restart"/>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过程性考核内容</w:t>
            </w:r>
          </w:p>
        </w:tc>
        <w:tc>
          <w:tcPr>
            <w:tcW w:w="2938" w:type="dxa"/>
            <w:gridSpan w:val="2"/>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身体健康状况</w:t>
            </w:r>
          </w:p>
        </w:tc>
        <w:tc>
          <w:tcPr>
            <w:tcW w:w="5510" w:type="dxa"/>
            <w:gridSpan w:val="7"/>
            <w:vAlign w:val="center"/>
          </w:tcPr>
          <w:p>
            <w:pPr>
              <w:adjustRightInd w:val="0"/>
              <w:snapToGrid w:val="0"/>
              <w:jc w:val="center"/>
              <w:rPr>
                <w:rFonts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9" w:hRule="atLeast"/>
          <w:jc w:val="center"/>
        </w:trPr>
        <w:tc>
          <w:tcPr>
            <w:tcW w:w="624" w:type="dxa"/>
            <w:vMerge w:val="continue"/>
          </w:tcPr>
          <w:p>
            <w:pPr>
              <w:adjustRightInd w:val="0"/>
              <w:snapToGrid w:val="0"/>
              <w:rPr>
                <w:rFonts w:ascii="仿宋_GB2312" w:eastAsia="仿宋_GB2312"/>
                <w:sz w:val="24"/>
                <w:szCs w:val="21"/>
              </w:rPr>
            </w:pPr>
          </w:p>
        </w:tc>
        <w:tc>
          <w:tcPr>
            <w:tcW w:w="2938" w:type="dxa"/>
            <w:gridSpan w:val="2"/>
            <w:vAlign w:val="center"/>
          </w:tcPr>
          <w:p>
            <w:pPr>
              <w:adjustRightInd w:val="0"/>
              <w:snapToGrid w:val="0"/>
              <w:rPr>
                <w:rFonts w:ascii="仿宋_GB2312" w:eastAsia="仿宋_GB2312"/>
                <w:sz w:val="24"/>
                <w:szCs w:val="21"/>
              </w:rPr>
            </w:pPr>
            <w:r>
              <w:rPr>
                <w:rFonts w:hint="eastAsia" w:ascii="仿宋_GB2312" w:eastAsia="仿宋_GB2312"/>
                <w:sz w:val="24"/>
                <w:szCs w:val="21"/>
              </w:rPr>
              <w:t>思想品德情况（</w:t>
            </w:r>
            <w:r>
              <w:rPr>
                <w:rFonts w:hint="eastAsia" w:ascii="仿宋_GB2312" w:eastAsia="仿宋_GB2312"/>
                <w:sz w:val="24"/>
                <w:szCs w:val="21"/>
                <w:shd w:val="clear" w:color="auto" w:fill="FFFFFF"/>
              </w:rPr>
              <w:t>包括专科学习期间遵守国家法律法规、校纪校规、社会公德的情况，参加学校或班级组织的思想教育活动、政治学习和社会公益活动的情况及其他体现学生思想品德的情况等）</w:t>
            </w:r>
          </w:p>
        </w:tc>
        <w:tc>
          <w:tcPr>
            <w:tcW w:w="5510" w:type="dxa"/>
            <w:gridSpan w:val="7"/>
          </w:tcPr>
          <w:p>
            <w:pPr>
              <w:adjustRightInd w:val="0"/>
              <w:snapToGrid w:val="0"/>
              <w:rPr>
                <w:rFonts w:ascii="仿宋_GB2312" w:eastAsia="仿宋_GB2312"/>
                <w:sz w:val="24"/>
                <w:szCs w:val="21"/>
              </w:rPr>
            </w:pPr>
          </w:p>
          <w:p>
            <w:pPr>
              <w:adjustRightInd w:val="0"/>
              <w:snapToGrid w:val="0"/>
              <w:rPr>
                <w:rFonts w:ascii="仿宋_GB2312" w:eastAsia="仿宋_GB2312"/>
                <w:sz w:val="24"/>
                <w:szCs w:val="21"/>
              </w:rPr>
            </w:pPr>
          </w:p>
          <w:p>
            <w:pPr>
              <w:adjustRightInd w:val="0"/>
              <w:snapToGrid w:val="0"/>
              <w:rPr>
                <w:rFonts w:ascii="仿宋_GB2312" w:eastAsia="仿宋_GB2312"/>
                <w:sz w:val="24"/>
                <w:szCs w:val="21"/>
              </w:rPr>
            </w:pPr>
          </w:p>
          <w:p>
            <w:pPr>
              <w:adjustRightInd w:val="0"/>
              <w:snapToGrid w:val="0"/>
              <w:rPr>
                <w:rFonts w:ascii="仿宋_GB2312" w:eastAsia="仿宋_GB2312"/>
                <w:sz w:val="24"/>
                <w:szCs w:val="21"/>
              </w:rPr>
            </w:pPr>
          </w:p>
          <w:p>
            <w:pPr>
              <w:adjustRightInd w:val="0"/>
              <w:snapToGrid w:val="0"/>
              <w:rPr>
                <w:rFonts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6" w:hRule="atLeast"/>
          <w:jc w:val="center"/>
        </w:trPr>
        <w:tc>
          <w:tcPr>
            <w:tcW w:w="624" w:type="dxa"/>
            <w:vMerge w:val="continue"/>
          </w:tcPr>
          <w:p>
            <w:pPr>
              <w:adjustRightInd w:val="0"/>
              <w:snapToGrid w:val="0"/>
              <w:rPr>
                <w:rFonts w:ascii="仿宋_GB2312" w:eastAsia="仿宋_GB2312"/>
                <w:sz w:val="24"/>
                <w:szCs w:val="21"/>
              </w:rPr>
            </w:pPr>
          </w:p>
        </w:tc>
        <w:tc>
          <w:tcPr>
            <w:tcW w:w="2938" w:type="dxa"/>
            <w:gridSpan w:val="2"/>
            <w:vAlign w:val="center"/>
          </w:tcPr>
          <w:p>
            <w:pPr>
              <w:adjustRightInd w:val="0"/>
              <w:snapToGrid w:val="0"/>
              <w:rPr>
                <w:rFonts w:ascii="仿宋_GB2312" w:eastAsia="仿宋_GB2312"/>
                <w:sz w:val="24"/>
                <w:szCs w:val="21"/>
              </w:rPr>
            </w:pPr>
            <w:r>
              <w:rPr>
                <w:rFonts w:hint="eastAsia" w:ascii="仿宋_GB2312" w:eastAsia="仿宋_GB2312"/>
                <w:sz w:val="24"/>
                <w:szCs w:val="21"/>
              </w:rPr>
              <w:t>学习情况〔</w:t>
            </w:r>
            <w:r>
              <w:rPr>
                <w:rFonts w:hint="eastAsia" w:ascii="仿宋_GB2312" w:eastAsia="仿宋_GB2312"/>
                <w:sz w:val="24"/>
                <w:szCs w:val="21"/>
                <w:shd w:val="clear" w:color="auto" w:fill="FFFFFF"/>
              </w:rPr>
              <w:t>包括按专科学习期间必修课和规定学分内应修选修课的学习情况等（含初次考试成绩情况和补考成绩情况）〕</w:t>
            </w:r>
          </w:p>
        </w:tc>
        <w:tc>
          <w:tcPr>
            <w:tcW w:w="5510" w:type="dxa"/>
            <w:gridSpan w:val="7"/>
          </w:tcPr>
          <w:p>
            <w:pPr>
              <w:adjustRightInd w:val="0"/>
              <w:snapToGrid w:val="0"/>
              <w:rPr>
                <w:rFonts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4" w:hRule="atLeast"/>
          <w:jc w:val="center"/>
        </w:trPr>
        <w:tc>
          <w:tcPr>
            <w:tcW w:w="624" w:type="dxa"/>
            <w:vMerge w:val="restart"/>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过程性考核内容</w:t>
            </w:r>
          </w:p>
        </w:tc>
        <w:tc>
          <w:tcPr>
            <w:tcW w:w="4155" w:type="dxa"/>
            <w:gridSpan w:val="5"/>
            <w:vAlign w:val="center"/>
          </w:tcPr>
          <w:p>
            <w:pPr>
              <w:adjustRightInd w:val="0"/>
              <w:snapToGrid w:val="0"/>
              <w:rPr>
                <w:rFonts w:ascii="仿宋_GB2312" w:eastAsia="仿宋_GB2312"/>
                <w:sz w:val="24"/>
                <w:szCs w:val="21"/>
              </w:rPr>
            </w:pPr>
            <w:r>
              <w:rPr>
                <w:rFonts w:hint="eastAsia" w:ascii="仿宋_GB2312" w:eastAsia="仿宋_GB2312"/>
                <w:sz w:val="24"/>
                <w:szCs w:val="21"/>
              </w:rPr>
              <w:t>参加社会实践活动、全国及全省职业院校技能大赛和获得技能证书情况等</w:t>
            </w:r>
          </w:p>
        </w:tc>
        <w:tc>
          <w:tcPr>
            <w:tcW w:w="4293" w:type="dxa"/>
            <w:gridSpan w:val="4"/>
          </w:tcPr>
          <w:p>
            <w:pPr>
              <w:adjustRightInd w:val="0"/>
              <w:snapToGrid w:val="0"/>
              <w:rPr>
                <w:rFonts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0" w:hRule="atLeast"/>
          <w:jc w:val="center"/>
        </w:trPr>
        <w:tc>
          <w:tcPr>
            <w:tcW w:w="624" w:type="dxa"/>
            <w:vMerge w:val="continue"/>
          </w:tcPr>
          <w:p>
            <w:pPr>
              <w:adjustRightInd w:val="0"/>
              <w:snapToGrid w:val="0"/>
              <w:rPr>
                <w:rFonts w:ascii="仿宋_GB2312" w:eastAsia="仿宋_GB2312"/>
                <w:sz w:val="24"/>
                <w:szCs w:val="21"/>
              </w:rPr>
            </w:pPr>
          </w:p>
        </w:tc>
        <w:tc>
          <w:tcPr>
            <w:tcW w:w="4155" w:type="dxa"/>
            <w:gridSpan w:val="5"/>
            <w:vAlign w:val="center"/>
          </w:tcPr>
          <w:p>
            <w:pPr>
              <w:adjustRightInd w:val="0"/>
              <w:snapToGrid w:val="0"/>
              <w:rPr>
                <w:rFonts w:ascii="仿宋_GB2312" w:eastAsia="仿宋_GB2312"/>
                <w:sz w:val="24"/>
                <w:szCs w:val="21"/>
              </w:rPr>
            </w:pPr>
            <w:r>
              <w:rPr>
                <w:rFonts w:hint="eastAsia" w:ascii="仿宋_GB2312" w:eastAsia="仿宋_GB2312"/>
                <w:sz w:val="24"/>
                <w:szCs w:val="21"/>
              </w:rPr>
              <w:t>其他体现学生特长和全面发展方面的情况</w:t>
            </w:r>
          </w:p>
        </w:tc>
        <w:tc>
          <w:tcPr>
            <w:tcW w:w="4293" w:type="dxa"/>
            <w:gridSpan w:val="4"/>
          </w:tcPr>
          <w:p>
            <w:pPr>
              <w:adjustRightInd w:val="0"/>
              <w:snapToGrid w:val="0"/>
              <w:rPr>
                <w:rFonts w:ascii="仿宋_GB2312"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3" w:hRule="atLeast"/>
          <w:jc w:val="center"/>
        </w:trPr>
        <w:tc>
          <w:tcPr>
            <w:tcW w:w="624" w:type="dxa"/>
            <w:vMerge w:val="continue"/>
          </w:tcPr>
          <w:p>
            <w:pPr>
              <w:adjustRightInd w:val="0"/>
              <w:snapToGrid w:val="0"/>
              <w:rPr>
                <w:rFonts w:ascii="仿宋_GB2312" w:eastAsia="仿宋_GB2312"/>
                <w:sz w:val="24"/>
                <w:szCs w:val="21"/>
              </w:rPr>
            </w:pPr>
          </w:p>
        </w:tc>
        <w:tc>
          <w:tcPr>
            <w:tcW w:w="4155" w:type="dxa"/>
            <w:gridSpan w:val="5"/>
          </w:tcPr>
          <w:p>
            <w:pPr>
              <w:pStyle w:val="10"/>
              <w:shd w:val="clear" w:color="auto" w:fill="FFFFFF"/>
              <w:adjustRightInd w:val="0"/>
              <w:snapToGrid w:val="0"/>
              <w:spacing w:beforeLines="30" w:beforeAutospacing="0" w:after="0" w:afterAutospacing="0"/>
              <w:ind w:firstLine="482"/>
              <w:rPr>
                <w:rFonts w:ascii="仿宋_GB2312" w:hAnsi="Times New Roman" w:eastAsia="仿宋_GB2312" w:cs="Times New Roman"/>
                <w:szCs w:val="21"/>
                <w:shd w:val="clear" w:color="auto" w:fill="FFFFFF"/>
              </w:rPr>
            </w:pPr>
            <w:r>
              <w:rPr>
                <w:rFonts w:hint="eastAsia" w:ascii="仿宋_GB2312" w:hAnsi="Times New Roman" w:eastAsia="仿宋_GB2312" w:cs="Times New Roman"/>
                <w:szCs w:val="21"/>
                <w:shd w:val="clear" w:color="auto" w:fill="FFFFFF"/>
              </w:rPr>
              <w:t>是否存在以下情况：</w:t>
            </w:r>
          </w:p>
          <w:p>
            <w:pPr>
              <w:pStyle w:val="10"/>
              <w:shd w:val="clear" w:color="auto" w:fill="FFFFFF"/>
              <w:adjustRightInd w:val="0"/>
              <w:snapToGrid w:val="0"/>
              <w:spacing w:before="0" w:beforeAutospacing="0" w:after="0" w:afterAutospacing="0"/>
              <w:ind w:firstLine="480"/>
              <w:rPr>
                <w:rFonts w:ascii="仿宋_GB2312" w:hAnsi="Times New Roman" w:eastAsia="仿宋_GB2312" w:cs="Times New Roman"/>
                <w:szCs w:val="21"/>
              </w:rPr>
            </w:pPr>
            <w:r>
              <w:rPr>
                <w:rFonts w:hint="eastAsia" w:ascii="仿宋_GB2312" w:hAnsi="Times New Roman" w:eastAsia="仿宋_GB2312" w:cs="Times New Roman"/>
                <w:szCs w:val="21"/>
                <w:shd w:val="clear" w:color="auto" w:fill="FFFFFF"/>
              </w:rPr>
              <w:t>1.因触犯国家法律法规，受到过司法机关刑事处罚或治安管理处罚的；</w:t>
            </w:r>
          </w:p>
          <w:p>
            <w:pPr>
              <w:pStyle w:val="10"/>
              <w:shd w:val="clear" w:color="auto" w:fill="FFFFFF"/>
              <w:adjustRightInd w:val="0"/>
              <w:snapToGrid w:val="0"/>
              <w:spacing w:before="0" w:beforeAutospacing="0" w:after="0" w:afterAutospacing="0"/>
              <w:ind w:firstLine="480"/>
              <w:rPr>
                <w:rFonts w:ascii="仿宋_GB2312" w:hAnsi="Times New Roman" w:eastAsia="仿宋_GB2312" w:cs="Times New Roman"/>
                <w:szCs w:val="21"/>
              </w:rPr>
            </w:pPr>
            <w:r>
              <w:rPr>
                <w:rFonts w:hint="eastAsia" w:ascii="仿宋_GB2312" w:hAnsi="Times New Roman" w:eastAsia="仿宋_GB2312" w:cs="Times New Roman"/>
                <w:szCs w:val="21"/>
                <w:shd w:val="clear" w:color="auto" w:fill="FFFFFF"/>
              </w:rPr>
              <w:t>2.因考试作弊或其他违反学校规章制度的行为，受到过学校记过以上处分的；或受到学校警告、严重警告处分尚未解除的；</w:t>
            </w:r>
          </w:p>
          <w:p>
            <w:pPr>
              <w:pStyle w:val="10"/>
              <w:shd w:val="clear" w:color="auto" w:fill="FFFFFF"/>
              <w:adjustRightInd w:val="0"/>
              <w:snapToGrid w:val="0"/>
              <w:spacing w:before="0" w:beforeAutospacing="0" w:after="0" w:afterAutospacing="0"/>
              <w:ind w:firstLine="480"/>
              <w:rPr>
                <w:rFonts w:ascii="仿宋_GB2312" w:hAnsi="Times New Roman" w:eastAsia="仿宋_GB2312" w:cs="Times New Roman"/>
                <w:szCs w:val="21"/>
                <w:shd w:val="clear" w:color="auto" w:fill="FFFFFF"/>
              </w:rPr>
            </w:pPr>
            <w:r>
              <w:rPr>
                <w:rFonts w:hint="eastAsia" w:ascii="仿宋_GB2312" w:hAnsi="Times New Roman" w:eastAsia="仿宋_GB2312" w:cs="Times New Roman"/>
                <w:szCs w:val="21"/>
                <w:shd w:val="clear" w:color="auto" w:fill="FFFFFF"/>
              </w:rPr>
              <w:t>3.有4门及以上课程（含必修课和规定学分内的应修选修课，下同）初次考试不及格的；或有1至3门课程初次考试不及格，经一次补考仍有1门及以上课程不及格的。</w:t>
            </w:r>
          </w:p>
          <w:p>
            <w:pPr>
              <w:adjustRightInd w:val="0"/>
              <w:snapToGrid w:val="0"/>
              <w:rPr>
                <w:rFonts w:ascii="仿宋_GB2312" w:eastAsia="仿宋_GB2312"/>
                <w:sz w:val="24"/>
                <w:szCs w:val="21"/>
              </w:rPr>
            </w:pPr>
          </w:p>
        </w:tc>
        <w:tc>
          <w:tcPr>
            <w:tcW w:w="4293" w:type="dxa"/>
            <w:gridSpan w:val="4"/>
          </w:tcPr>
          <w:p>
            <w:pPr>
              <w:adjustRightInd w:val="0"/>
              <w:snapToGrid w:val="0"/>
              <w:spacing w:beforeLines="30"/>
              <w:rPr>
                <w:rFonts w:ascii="仿宋_GB2312" w:eastAsia="仿宋_GB2312"/>
                <w:sz w:val="24"/>
                <w:szCs w:val="21"/>
              </w:rPr>
            </w:pPr>
            <w:r>
              <w:rPr>
                <w:rFonts w:hint="eastAsia" w:ascii="仿宋_GB2312" w:eastAsia="仿宋_GB2312"/>
                <w:sz w:val="24"/>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4" w:hRule="atLeast"/>
          <w:jc w:val="center"/>
        </w:trPr>
        <w:tc>
          <w:tcPr>
            <w:tcW w:w="624" w:type="dxa"/>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过程性考核结论</w:t>
            </w:r>
          </w:p>
        </w:tc>
        <w:tc>
          <w:tcPr>
            <w:tcW w:w="8448" w:type="dxa"/>
            <w:gridSpan w:val="9"/>
          </w:tcPr>
          <w:p>
            <w:pPr>
              <w:adjustRightInd w:val="0"/>
              <w:snapToGrid w:val="0"/>
              <w:spacing w:beforeLines="30"/>
              <w:rPr>
                <w:rFonts w:ascii="仿宋_GB2312" w:eastAsia="仿宋_GB2312"/>
                <w:sz w:val="24"/>
                <w:szCs w:val="21"/>
              </w:rPr>
            </w:pPr>
            <w:r>
              <w:rPr>
                <w:rFonts w:hint="eastAsia" w:ascii="仿宋_GB2312" w:eastAsia="仿宋_GB2312"/>
                <w:sz w:val="24"/>
                <w:szCs w:val="21"/>
              </w:rPr>
              <w:t>（填写考生过程性考核合格或不合格）</w:t>
            </w:r>
          </w:p>
        </w:tc>
      </w:tr>
    </w:tbl>
    <w:p>
      <w:pPr>
        <w:spacing w:line="500" w:lineRule="exact"/>
        <w:rPr>
          <w:rFonts w:ascii="黑体" w:hAnsi="黑体" w:eastAsia="黑体"/>
          <w:sz w:val="32"/>
          <w:szCs w:val="32"/>
        </w:rPr>
      </w:pPr>
      <w:r>
        <w:rPr>
          <w:rFonts w:hint="eastAsia" w:ascii="黑体" w:hAnsi="黑体" w:eastAsia="黑体"/>
          <w:sz w:val="32"/>
          <w:szCs w:val="32"/>
        </w:rPr>
        <w:t>附件13</w:t>
      </w:r>
    </w:p>
    <w:p>
      <w:pPr>
        <w:jc w:val="center"/>
        <w:rPr>
          <w:rFonts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普通高等教育专升本诚信考试承诺书</w:t>
      </w:r>
    </w:p>
    <w:p>
      <w:pPr>
        <w:ind w:firstLine="640" w:firstLineChars="200"/>
        <w:rPr>
          <w:rFonts w:ascii="仿宋" w:hAnsi="仿宋" w:eastAsia="仿宋" w:cs="仿宋"/>
          <w:sz w:val="32"/>
          <w:szCs w:val="32"/>
        </w:rPr>
      </w:pPr>
      <w:r>
        <w:rPr>
          <w:rFonts w:hint="eastAsia" w:ascii="仿宋" w:hAnsi="仿宋" w:eastAsia="仿宋" w:cs="仿宋"/>
          <w:sz w:val="32"/>
          <w:szCs w:val="32"/>
        </w:rPr>
        <w:t>我报名参加2019年普通高等教育专升本考试，我承诺：</w:t>
      </w:r>
    </w:p>
    <w:p>
      <w:pPr>
        <w:ind w:firstLine="640" w:firstLineChars="200"/>
        <w:rPr>
          <w:rFonts w:ascii="仿宋" w:hAnsi="仿宋" w:eastAsia="仿宋" w:cs="仿宋"/>
          <w:sz w:val="32"/>
          <w:szCs w:val="32"/>
        </w:rPr>
      </w:pPr>
      <w:r>
        <w:rPr>
          <w:rFonts w:hint="eastAsia" w:ascii="仿宋" w:hAnsi="仿宋" w:eastAsia="仿宋" w:cs="仿宋"/>
          <w:sz w:val="32"/>
          <w:szCs w:val="32"/>
        </w:rPr>
        <w:t>我符合2019年普通高等教育专升本的报考条件，本人在报名时提供的信息是真实的、准确的，如有虚假信息和违规行为，本人承担由此而产生的一切后果。</w:t>
      </w:r>
    </w:p>
    <w:p>
      <w:pPr>
        <w:ind w:firstLine="640" w:firstLineChars="200"/>
        <w:rPr>
          <w:rFonts w:ascii="仿宋_GB2312" w:hAnsi="宋体" w:eastAsia="仿宋_GB2312"/>
          <w:sz w:val="32"/>
          <w:szCs w:val="32"/>
        </w:rPr>
      </w:pPr>
      <w:r>
        <w:rPr>
          <w:rFonts w:hint="eastAsia" w:ascii="仿宋" w:hAnsi="仿宋" w:eastAsia="仿宋" w:cs="仿宋"/>
          <w:sz w:val="32"/>
          <w:szCs w:val="32"/>
        </w:rPr>
        <w:t>我愿意并保证在2019年普通高等教育专升本考试中自觉遵守、严格执行考生守则，</w:t>
      </w:r>
      <w:r>
        <w:rPr>
          <w:rFonts w:hint="eastAsia" w:ascii="仿宋_GB2312" w:hAnsi="宋体" w:eastAsia="仿宋_GB2312"/>
          <w:sz w:val="32"/>
          <w:szCs w:val="32"/>
        </w:rPr>
        <w:t>遵守考场纪律，服从考试工作人员管理，诚信应考，不携带手机等通讯工具、电子存储设备等物品进入考场。</w:t>
      </w:r>
    </w:p>
    <w:p>
      <w:pPr>
        <w:ind w:firstLine="640" w:firstLineChars="200"/>
        <w:rPr>
          <w:rFonts w:ascii="仿宋" w:hAnsi="仿宋" w:eastAsia="仿宋" w:cs="仿宋"/>
          <w:sz w:val="32"/>
          <w:szCs w:val="32"/>
        </w:rPr>
      </w:pPr>
      <w:r>
        <w:rPr>
          <w:rFonts w:hint="eastAsia" w:ascii="仿宋" w:hAnsi="仿宋" w:eastAsia="仿宋" w:cs="仿宋"/>
          <w:sz w:val="32"/>
          <w:szCs w:val="32"/>
        </w:rPr>
        <w:t>我已认真阅读、知晓《国家教育考试违规处理办法》（教育部33号令）《中华人民共和国刑法修正案（九）》等有关法律法规，并知晓本校对于普通专升本违纪作弊考生的处分规定，如有违纪作弊愿按照规定接受处理。</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承诺人：</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时间：</w:t>
      </w:r>
    </w:p>
    <w:p>
      <w:pPr>
        <w:spacing w:line="540" w:lineRule="exact"/>
        <w:ind w:firstLine="640" w:firstLineChars="200"/>
        <w:rPr>
          <w:rFonts w:ascii="仿宋_GB2312" w:hAnsi="仿宋" w:eastAsia="仿宋_GB2312" w:cs="仿宋"/>
          <w:sz w:val="32"/>
          <w:szCs w:val="32"/>
        </w:rPr>
      </w:pPr>
    </w:p>
    <w:p>
      <w:pPr>
        <w:widowControl/>
        <w:spacing w:line="460" w:lineRule="exact"/>
        <w:jc w:val="center"/>
        <w:rPr>
          <w:rFonts w:ascii="方正小标宋简体" w:eastAsia="方正小标宋简体" w:cs="宋体"/>
          <w:bCs/>
          <w:kern w:val="0"/>
          <w:sz w:val="36"/>
          <w:szCs w:val="36"/>
        </w:rPr>
      </w:pPr>
    </w:p>
    <w:sectPr>
      <w:pgSz w:w="11906" w:h="16838"/>
      <w:pgMar w:top="1928" w:right="1418" w:bottom="1928"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中黑简">
    <w:altName w:val="黑体"/>
    <w:panose1 w:val="00000000000000000000"/>
    <w:charset w:val="86"/>
    <w:family w:val="modern"/>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 w:name="汉仪书宋一简">
    <w:altName w:val="宋体"/>
    <w:panose1 w:val="00000000000000000000"/>
    <w:charset w:val="86"/>
    <w:family w:val="modern"/>
    <w:pitch w:val="default"/>
    <w:sig w:usb0="00000000" w:usb1="00000000" w:usb2="00000012"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0393170"/>
    </w:sdtPr>
    <w:sdtEndPr>
      <w:rPr>
        <w:sz w:val="28"/>
        <w:szCs w:val="28"/>
      </w:rPr>
    </w:sdtEndPr>
    <w:sdtContent>
      <w:p>
        <w:pPr>
          <w:pStyle w:val="8"/>
          <w:ind w:left="315" w:leftChars="150" w:right="315" w:rightChars="15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41</w:t>
        </w:r>
        <w:r>
          <w:rPr>
            <w:sz w:val="28"/>
            <w:szCs w:val="28"/>
          </w:rPr>
          <w:fldChar w:fldCharType="end"/>
        </w:r>
        <w:r>
          <w:rPr>
            <w:sz w:val="28"/>
            <w:szCs w:val="28"/>
          </w:rPr>
          <w:t xml:space="preserve"> </w:t>
        </w:r>
        <w:r>
          <w:rPr>
            <w:rFonts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315" w:leftChars="150"/>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42</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attachedTemplate r:id="rId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2F55"/>
    <w:rsid w:val="00075061"/>
    <w:rsid w:val="000D21A6"/>
    <w:rsid w:val="000F18DA"/>
    <w:rsid w:val="0014707F"/>
    <w:rsid w:val="001B01C5"/>
    <w:rsid w:val="00244F74"/>
    <w:rsid w:val="00262221"/>
    <w:rsid w:val="002B7CD9"/>
    <w:rsid w:val="002C208C"/>
    <w:rsid w:val="002D008C"/>
    <w:rsid w:val="0030018A"/>
    <w:rsid w:val="003A2CAD"/>
    <w:rsid w:val="003D69AC"/>
    <w:rsid w:val="004101CE"/>
    <w:rsid w:val="00557F8D"/>
    <w:rsid w:val="005F1E96"/>
    <w:rsid w:val="00644798"/>
    <w:rsid w:val="006675C6"/>
    <w:rsid w:val="007700B3"/>
    <w:rsid w:val="007921D5"/>
    <w:rsid w:val="007D62F5"/>
    <w:rsid w:val="00905E41"/>
    <w:rsid w:val="0091779B"/>
    <w:rsid w:val="00944274"/>
    <w:rsid w:val="009A5D98"/>
    <w:rsid w:val="009D4C30"/>
    <w:rsid w:val="00A32F55"/>
    <w:rsid w:val="00A3694B"/>
    <w:rsid w:val="00B635BA"/>
    <w:rsid w:val="00C2060F"/>
    <w:rsid w:val="00CB660A"/>
    <w:rsid w:val="00CD0236"/>
    <w:rsid w:val="00D37C1A"/>
    <w:rsid w:val="00D96F43"/>
    <w:rsid w:val="00EE3D1B"/>
    <w:rsid w:val="00EE7400"/>
    <w:rsid w:val="00F15E6F"/>
    <w:rsid w:val="00FC2187"/>
    <w:rsid w:val="00FD760E"/>
    <w:rsid w:val="0FC73F38"/>
    <w:rsid w:val="157359C4"/>
    <w:rsid w:val="18C73360"/>
    <w:rsid w:val="1FF04A57"/>
    <w:rsid w:val="33B91108"/>
    <w:rsid w:val="3A216D4A"/>
    <w:rsid w:val="776161FE"/>
    <w:rsid w:val="7E701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0"/>
    <w:pPr>
      <w:keepNext/>
      <w:keepLines/>
      <w:spacing w:before="260" w:after="260" w:line="416" w:lineRule="auto"/>
      <w:outlineLvl w:val="2"/>
    </w:pPr>
    <w:rPr>
      <w:rFonts w:ascii="Calibri" w:hAnsi="Calibri"/>
      <w:b/>
      <w:bCs/>
      <w:sz w:val="32"/>
      <w:szCs w:val="32"/>
    </w:rPr>
  </w:style>
  <w:style w:type="character" w:default="1" w:styleId="11">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link w:val="18"/>
    <w:qFormat/>
    <w:uiPriority w:val="0"/>
    <w:pPr>
      <w:ind w:firstLine="420" w:firstLineChars="200"/>
    </w:pPr>
    <w:rPr>
      <w:kern w:val="0"/>
      <w:sz w:val="20"/>
    </w:rPr>
  </w:style>
  <w:style w:type="paragraph" w:styleId="6">
    <w:name w:val="Plain Text"/>
    <w:basedOn w:val="1"/>
    <w:link w:val="19"/>
    <w:qFormat/>
    <w:uiPriority w:val="0"/>
    <w:rPr>
      <w:rFonts w:ascii="宋体" w:hAnsi="Courier New"/>
      <w:kern w:val="0"/>
      <w:sz w:val="20"/>
      <w:szCs w:val="20"/>
    </w:rPr>
  </w:style>
  <w:style w:type="paragraph" w:styleId="7">
    <w:name w:val="Balloon Text"/>
    <w:basedOn w:val="1"/>
    <w:link w:val="17"/>
    <w:qFormat/>
    <w:uiPriority w:val="0"/>
    <w:rPr>
      <w:sz w:val="18"/>
      <w:szCs w:val="18"/>
    </w:r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character" w:styleId="13">
    <w:name w:val="page number"/>
    <w:basedOn w:val="11"/>
    <w:qFormat/>
    <w:uiPriority w:val="0"/>
  </w:style>
  <w:style w:type="paragraph" w:customStyle="1" w:styleId="15">
    <w:name w:val="样式2"/>
    <w:basedOn w:val="2"/>
    <w:qFormat/>
    <w:uiPriority w:val="0"/>
    <w:rPr>
      <w:rFonts w:ascii="Times" w:hAnsi="Times" w:eastAsia="仿宋_GB2312"/>
      <w:b w:val="0"/>
      <w:snapToGrid w:val="0"/>
      <w:sz w:val="32"/>
      <w:szCs w:val="32"/>
    </w:rPr>
  </w:style>
  <w:style w:type="paragraph" w:customStyle="1" w:styleId="16">
    <w:name w:val="样式3"/>
    <w:basedOn w:val="2"/>
    <w:qFormat/>
    <w:uiPriority w:val="0"/>
    <w:rPr>
      <w:rFonts w:eastAsia="仿宋_GB2312"/>
      <w:b w:val="0"/>
      <w:snapToGrid w:val="0"/>
      <w:sz w:val="32"/>
    </w:rPr>
  </w:style>
  <w:style w:type="character" w:customStyle="1" w:styleId="17">
    <w:name w:val="批注框文本 Char"/>
    <w:link w:val="7"/>
    <w:qFormat/>
    <w:uiPriority w:val="0"/>
    <w:rPr>
      <w:kern w:val="2"/>
      <w:sz w:val="18"/>
      <w:szCs w:val="18"/>
    </w:rPr>
  </w:style>
  <w:style w:type="character" w:customStyle="1" w:styleId="18">
    <w:name w:val="正文文本缩进 Char"/>
    <w:link w:val="5"/>
    <w:qFormat/>
    <w:uiPriority w:val="0"/>
    <w:rPr>
      <w:szCs w:val="24"/>
    </w:rPr>
  </w:style>
  <w:style w:type="character" w:customStyle="1" w:styleId="19">
    <w:name w:val="纯文本 Char"/>
    <w:link w:val="6"/>
    <w:qFormat/>
    <w:uiPriority w:val="0"/>
    <w:rPr>
      <w:rFonts w:ascii="宋体" w:hAnsi="Courier New"/>
    </w:rPr>
  </w:style>
  <w:style w:type="character" w:customStyle="1" w:styleId="20">
    <w:name w:val="正文文本缩进 字符1"/>
    <w:qFormat/>
    <w:uiPriority w:val="0"/>
    <w:rPr>
      <w:kern w:val="2"/>
      <w:sz w:val="21"/>
      <w:szCs w:val="24"/>
    </w:rPr>
  </w:style>
  <w:style w:type="character" w:customStyle="1" w:styleId="21">
    <w:name w:val="纯文本 字符1"/>
    <w:qFormat/>
    <w:uiPriority w:val="0"/>
    <w:rPr>
      <w:rFonts w:ascii="宋体" w:hAnsi="Courier New" w:cs="Courier New"/>
      <w:kern w:val="2"/>
      <w:sz w:val="21"/>
      <w:szCs w:val="21"/>
    </w:rPr>
  </w:style>
  <w:style w:type="character" w:customStyle="1" w:styleId="22">
    <w:name w:val="标题 3 Char"/>
    <w:basedOn w:val="11"/>
    <w:link w:val="3"/>
    <w:qFormat/>
    <w:uiPriority w:val="0"/>
    <w:rPr>
      <w:rFonts w:ascii="Calibri" w:hAnsi="Calibri"/>
      <w:b/>
      <w:bCs/>
      <w:kern w:val="2"/>
      <w:sz w:val="32"/>
      <w:szCs w:val="32"/>
    </w:rPr>
  </w:style>
  <w:style w:type="character" w:customStyle="1" w:styleId="23">
    <w:name w:val="页眉 Char"/>
    <w:link w:val="9"/>
    <w:qFormat/>
    <w:uiPriority w:val="0"/>
    <w:rPr>
      <w:kern w:val="2"/>
      <w:sz w:val="18"/>
      <w:szCs w:val="18"/>
    </w:rPr>
  </w:style>
  <w:style w:type="paragraph" w:customStyle="1" w:styleId="24">
    <w:name w:val="列出段落1"/>
    <w:basedOn w:val="1"/>
    <w:qFormat/>
    <w:uiPriority w:val="0"/>
    <w:pPr>
      <w:ind w:firstLine="420" w:firstLineChars="200"/>
    </w:pPr>
    <w:rPr>
      <w:rFonts w:ascii="Calibri" w:hAnsi="Calibri"/>
    </w:rPr>
  </w:style>
  <w:style w:type="character" w:customStyle="1" w:styleId="25">
    <w:name w:val="页脚 Char"/>
    <w:link w:val="8"/>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32771;&#35797;&#38498;\&#40065;&#25307;&#32771;&#12308;&#12309;&#21495;&#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鲁招考〔〕号模板</Template>
  <Company>sdjy</Company>
  <Pages>44</Pages>
  <Words>2806</Words>
  <Characters>15999</Characters>
  <Lines>133</Lines>
  <Paragraphs>37</Paragraphs>
  <TotalTime>5</TotalTime>
  <ScaleCrop>false</ScaleCrop>
  <LinksUpToDate>false</LinksUpToDate>
  <CharactersWithSpaces>18768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2019-01-02T01:51:00Z</dcterms:created>
  <dc:creator>文印室3</dc:creator>
  <cp:lastModifiedBy>四川自考网</cp:lastModifiedBy>
  <cp:lastPrinted>2018-05-21T06:38:00Z</cp:lastPrinted>
  <dcterms:modified xsi:type="dcterms:W3CDTF">2019-01-02T02:23:37Z</dcterms:modified>
  <dc:title>山东省招生委员会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