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6F1" w:rsidRPr="008466F1" w:rsidRDefault="008466F1" w:rsidP="008466F1">
      <w:pPr>
        <w:widowControl/>
        <w:shd w:val="clear" w:color="auto" w:fill="FFFFFF"/>
        <w:spacing w:before="100" w:beforeAutospacing="1" w:after="100" w:afterAutospacing="1"/>
        <w:jc w:val="center"/>
        <w:outlineLvl w:val="2"/>
        <w:rPr>
          <w:rFonts w:ascii="微软雅黑" w:eastAsia="微软雅黑" w:hAnsi="微软雅黑" w:cs="宋体"/>
          <w:b/>
          <w:bCs/>
          <w:color w:val="0166B6"/>
          <w:kern w:val="0"/>
          <w:sz w:val="45"/>
          <w:szCs w:val="45"/>
        </w:rPr>
      </w:pPr>
      <w:r w:rsidRPr="008466F1">
        <w:rPr>
          <w:rFonts w:ascii="微软雅黑" w:eastAsia="微软雅黑" w:hAnsi="微软雅黑" w:cs="宋体" w:hint="eastAsia"/>
          <w:b/>
          <w:bCs/>
          <w:color w:val="0166B6"/>
          <w:kern w:val="0"/>
          <w:sz w:val="45"/>
          <w:szCs w:val="45"/>
        </w:rPr>
        <w:t>福建省高等教育自学考试委员会关于调整非学历证书与自学考试相关课程学分互认及免考办法的通知</w:t>
      </w:r>
    </w:p>
    <w:p w:rsidR="008466F1" w:rsidRPr="008466F1" w:rsidRDefault="008466F1" w:rsidP="008466F1">
      <w:pPr>
        <w:widowControl/>
        <w:shd w:val="clear" w:color="auto" w:fill="FFFFFF"/>
        <w:snapToGrid w:val="0"/>
        <w:spacing w:line="500" w:lineRule="atLeast"/>
        <w:ind w:firstLine="480"/>
        <w:jc w:val="center"/>
        <w:textAlignment w:val="top"/>
        <w:rPr>
          <w:rFonts w:ascii="宋体" w:eastAsia="宋体" w:hAnsi="宋体" w:cs="宋体"/>
          <w:color w:val="000000"/>
          <w:kern w:val="0"/>
          <w:sz w:val="23"/>
          <w:szCs w:val="23"/>
        </w:rPr>
      </w:pPr>
      <w:r w:rsidRPr="008466F1">
        <w:rPr>
          <w:rFonts w:asciiTheme="minorEastAsia" w:hAnsiTheme="minorEastAsia" w:cs="宋体" w:hint="eastAsia"/>
          <w:noProof/>
          <w:color w:val="000000"/>
          <w:kern w:val="0"/>
          <w:sz w:val="24"/>
          <w:szCs w:val="32"/>
        </w:rPr>
        <w:t>闽考委〔2017〕1号</w:t>
      </w:r>
    </w:p>
    <w:p w:rsidR="008466F1" w:rsidRPr="008466F1" w:rsidRDefault="008466F1" w:rsidP="008466F1">
      <w:pPr>
        <w:widowControl/>
        <w:shd w:val="clear" w:color="auto" w:fill="FFFFFF"/>
        <w:spacing w:line="500" w:lineRule="atLeast"/>
        <w:ind w:firstLine="480"/>
        <w:jc w:val="left"/>
        <w:textAlignment w:val="top"/>
        <w:rPr>
          <w:rFonts w:ascii="宋体" w:eastAsia="宋体" w:hAnsi="宋体" w:cs="宋体"/>
          <w:color w:val="000000"/>
          <w:kern w:val="0"/>
          <w:sz w:val="23"/>
          <w:szCs w:val="23"/>
        </w:rPr>
      </w:pPr>
      <w:r w:rsidRPr="008466F1">
        <w:rPr>
          <w:rFonts w:asciiTheme="minorEastAsia" w:hAnsiTheme="minorEastAsia" w:cs="宋体" w:hint="eastAsia"/>
          <w:noProof/>
          <w:color w:val="000000"/>
          <w:kern w:val="0"/>
          <w:sz w:val="24"/>
          <w:szCs w:val="32"/>
        </w:rPr>
        <w:t>各主考院校,各市、县（区）教育招生考试机构</w:t>
      </w:r>
      <w:r w:rsidRPr="008466F1">
        <w:rPr>
          <w:rFonts w:asciiTheme="minorEastAsia" w:hAnsiTheme="minorEastAsia" w:cs="宋体" w:hint="eastAsia"/>
          <w:color w:val="000000"/>
          <w:kern w:val="0"/>
          <w:sz w:val="24"/>
          <w:szCs w:val="32"/>
        </w:rPr>
        <w:t>：</w:t>
      </w:r>
      <w:bookmarkStart w:id="0" w:name="Body"/>
      <w:bookmarkEnd w:id="0"/>
    </w:p>
    <w:p w:rsidR="008466F1" w:rsidRPr="008466F1" w:rsidRDefault="008466F1" w:rsidP="008466F1">
      <w:pPr>
        <w:widowControl/>
        <w:shd w:val="clear" w:color="auto" w:fill="FFFFFF"/>
        <w:spacing w:line="500" w:lineRule="exact"/>
        <w:ind w:firstLineChars="200" w:firstLine="480"/>
        <w:jc w:val="left"/>
        <w:textAlignment w:val="top"/>
        <w:rPr>
          <w:rFonts w:ascii="宋体" w:eastAsia="宋体" w:hAnsi="宋体" w:cs="宋体"/>
          <w:color w:val="000000"/>
          <w:kern w:val="0"/>
          <w:sz w:val="23"/>
          <w:szCs w:val="23"/>
        </w:rPr>
      </w:pPr>
      <w:r w:rsidRPr="008466F1">
        <w:rPr>
          <w:rFonts w:asciiTheme="minorEastAsia" w:hAnsiTheme="minorEastAsia" w:cs="宋体" w:hint="eastAsia"/>
          <w:color w:val="000000"/>
          <w:kern w:val="0"/>
          <w:sz w:val="24"/>
          <w:szCs w:val="32"/>
        </w:rPr>
        <w:t>根据教育部《关于推进高等教育学分认定和转换工作的意见》（教改[2016]3号）精神，为保证学分认定和转换工作规范、有序，进一步提升自学考试质量，省教育考试院组织有关专家对我省非学历证书与自学考试相关课程学分互认及免考工作进行阶段性论证。经研究，我委决定采纳专家</w:t>
      </w:r>
      <w:bookmarkStart w:id="1" w:name="_GoBack"/>
      <w:bookmarkEnd w:id="1"/>
      <w:r w:rsidRPr="008466F1">
        <w:rPr>
          <w:rFonts w:asciiTheme="minorEastAsia" w:hAnsiTheme="minorEastAsia" w:cs="宋体" w:hint="eastAsia"/>
          <w:color w:val="000000"/>
          <w:kern w:val="0"/>
          <w:sz w:val="24"/>
          <w:szCs w:val="32"/>
        </w:rPr>
        <w:t>论证意见，对非学历证书与自学考试相关课程学分互认及免考办法进行调整。现将调整情况通知如下：</w:t>
      </w:r>
    </w:p>
    <w:p w:rsidR="008466F1" w:rsidRPr="008466F1" w:rsidRDefault="008466F1" w:rsidP="008466F1">
      <w:pPr>
        <w:widowControl/>
        <w:shd w:val="clear" w:color="auto" w:fill="FFFFFF"/>
        <w:spacing w:line="500" w:lineRule="exact"/>
        <w:ind w:firstLineChars="200" w:firstLine="480"/>
        <w:jc w:val="left"/>
        <w:rPr>
          <w:rFonts w:ascii="宋体" w:eastAsia="宋体" w:hAnsi="宋体" w:cs="宋体"/>
          <w:color w:val="000000"/>
          <w:kern w:val="0"/>
          <w:sz w:val="23"/>
          <w:szCs w:val="23"/>
        </w:rPr>
      </w:pPr>
      <w:r w:rsidRPr="008466F1">
        <w:rPr>
          <w:rFonts w:asciiTheme="minorEastAsia" w:hAnsiTheme="minorEastAsia" w:cs="宋体" w:hint="eastAsia"/>
          <w:color w:val="000000"/>
          <w:kern w:val="0"/>
          <w:sz w:val="24"/>
          <w:szCs w:val="32"/>
        </w:rPr>
        <w:t>一、自本文印发之日起，除福建省教育考试院承担的非学历证书考试项目外，停止实施其他各类非学历证书与自学考试相关课程学分互认及免考的工作。</w:t>
      </w:r>
    </w:p>
    <w:p w:rsidR="008466F1" w:rsidRPr="008466F1" w:rsidRDefault="008466F1" w:rsidP="008466F1">
      <w:pPr>
        <w:widowControl/>
        <w:shd w:val="clear" w:color="auto" w:fill="FFFFFF"/>
        <w:spacing w:line="500" w:lineRule="exact"/>
        <w:ind w:firstLineChars="200" w:firstLine="480"/>
        <w:jc w:val="left"/>
        <w:rPr>
          <w:rFonts w:ascii="宋体" w:eastAsia="宋体" w:hAnsi="宋体" w:cs="宋体"/>
          <w:color w:val="000000"/>
          <w:kern w:val="0"/>
          <w:sz w:val="23"/>
          <w:szCs w:val="23"/>
        </w:rPr>
      </w:pPr>
      <w:r w:rsidRPr="008466F1">
        <w:rPr>
          <w:rFonts w:asciiTheme="minorEastAsia" w:hAnsiTheme="minorEastAsia" w:cs="宋体" w:hint="eastAsia"/>
          <w:color w:val="000000"/>
          <w:kern w:val="0"/>
          <w:sz w:val="24"/>
          <w:szCs w:val="32"/>
        </w:rPr>
        <w:t>二、本文印发之前，所有已在我省注册的自学考试考生按照原有相关课程学分互认及免考办法进行过渡，过渡期截至2018年12月31日。</w:t>
      </w:r>
    </w:p>
    <w:p w:rsidR="008466F1" w:rsidRPr="008466F1" w:rsidRDefault="008466F1" w:rsidP="008466F1">
      <w:pPr>
        <w:widowControl/>
        <w:shd w:val="clear" w:color="auto" w:fill="FFFFFF"/>
        <w:spacing w:line="500" w:lineRule="exact"/>
        <w:ind w:firstLineChars="200" w:firstLine="480"/>
        <w:jc w:val="right"/>
        <w:textAlignment w:val="top"/>
        <w:rPr>
          <w:rFonts w:ascii="宋体" w:eastAsia="宋体" w:hAnsi="宋体" w:cs="宋体"/>
          <w:color w:val="000000"/>
          <w:kern w:val="0"/>
          <w:sz w:val="23"/>
          <w:szCs w:val="23"/>
        </w:rPr>
      </w:pPr>
      <w:r w:rsidRPr="008466F1">
        <w:rPr>
          <w:rFonts w:asciiTheme="minorEastAsia" w:hAnsiTheme="minorEastAsia" w:cs="宋体" w:hint="eastAsia"/>
          <w:color w:val="000000"/>
          <w:kern w:val="0"/>
          <w:sz w:val="24"/>
          <w:szCs w:val="32"/>
        </w:rPr>
        <w:tab/>
      </w:r>
      <w:r w:rsidRPr="008466F1">
        <w:rPr>
          <w:rFonts w:asciiTheme="minorEastAsia" w:hAnsiTheme="minorEastAsia" w:cs="宋体" w:hint="eastAsia"/>
          <w:color w:val="000000"/>
          <w:kern w:val="0"/>
          <w:sz w:val="24"/>
          <w:szCs w:val="32"/>
        </w:rPr>
        <w:tab/>
      </w:r>
      <w:r w:rsidRPr="008466F1">
        <w:rPr>
          <w:rFonts w:asciiTheme="minorEastAsia" w:hAnsiTheme="minorEastAsia" w:cs="宋体" w:hint="eastAsia"/>
          <w:color w:val="000000"/>
          <w:kern w:val="0"/>
          <w:sz w:val="24"/>
          <w:szCs w:val="32"/>
        </w:rPr>
        <w:tab/>
      </w:r>
      <w:r w:rsidRPr="008466F1">
        <w:rPr>
          <w:rFonts w:asciiTheme="minorEastAsia" w:hAnsiTheme="minorEastAsia" w:cs="宋体" w:hint="eastAsia"/>
          <w:color w:val="000000"/>
          <w:kern w:val="0"/>
          <w:sz w:val="24"/>
          <w:szCs w:val="32"/>
        </w:rPr>
        <w:tab/>
      </w:r>
      <w:r w:rsidRPr="008466F1">
        <w:rPr>
          <w:rFonts w:asciiTheme="minorEastAsia" w:hAnsiTheme="minorEastAsia" w:cs="宋体" w:hint="eastAsia"/>
          <w:color w:val="000000"/>
          <w:kern w:val="0"/>
          <w:sz w:val="24"/>
          <w:szCs w:val="32"/>
        </w:rPr>
        <w:tab/>
      </w:r>
      <w:r w:rsidRPr="008466F1">
        <w:rPr>
          <w:rFonts w:asciiTheme="minorEastAsia" w:hAnsiTheme="minorEastAsia" w:cs="宋体" w:hint="eastAsia"/>
          <w:color w:val="000000"/>
          <w:kern w:val="0"/>
          <w:sz w:val="24"/>
          <w:szCs w:val="32"/>
        </w:rPr>
        <w:tab/>
      </w:r>
    </w:p>
    <w:p w:rsidR="008466F1" w:rsidRPr="008466F1" w:rsidRDefault="008466F1" w:rsidP="008466F1">
      <w:pPr>
        <w:widowControl/>
        <w:shd w:val="clear" w:color="auto" w:fill="FFFFFF"/>
        <w:spacing w:line="500" w:lineRule="exact"/>
        <w:ind w:firstLineChars="200" w:firstLine="480"/>
        <w:jc w:val="right"/>
        <w:textAlignment w:val="top"/>
        <w:rPr>
          <w:rFonts w:ascii="宋体" w:eastAsia="宋体" w:hAnsi="宋体" w:cs="宋体"/>
          <w:color w:val="000000"/>
          <w:kern w:val="0"/>
          <w:sz w:val="23"/>
          <w:szCs w:val="23"/>
        </w:rPr>
      </w:pPr>
      <w:r w:rsidRPr="008466F1">
        <w:rPr>
          <w:rFonts w:asciiTheme="minorEastAsia" w:hAnsiTheme="minorEastAsia" w:cs="宋体" w:hint="eastAsia"/>
          <w:color w:val="000000"/>
          <w:kern w:val="0"/>
          <w:sz w:val="24"/>
          <w:szCs w:val="32"/>
        </w:rPr>
        <w:t xml:space="preserve">      福建省高等教育自学考试委员会</w:t>
      </w:r>
    </w:p>
    <w:p w:rsidR="008466F1" w:rsidRPr="008466F1" w:rsidRDefault="008466F1" w:rsidP="008466F1">
      <w:pPr>
        <w:widowControl/>
        <w:shd w:val="clear" w:color="auto" w:fill="FFFFFF"/>
        <w:spacing w:line="500" w:lineRule="exact"/>
        <w:ind w:firstLineChars="200" w:firstLine="480"/>
        <w:jc w:val="right"/>
        <w:textAlignment w:val="top"/>
        <w:rPr>
          <w:rFonts w:ascii="宋体" w:eastAsia="宋体" w:hAnsi="宋体" w:cs="宋体"/>
          <w:color w:val="000000"/>
          <w:kern w:val="0"/>
          <w:sz w:val="23"/>
          <w:szCs w:val="23"/>
        </w:rPr>
      </w:pPr>
      <w:r w:rsidRPr="008466F1">
        <w:rPr>
          <w:rFonts w:asciiTheme="minorEastAsia" w:hAnsiTheme="minorEastAsia" w:cs="宋体" w:hint="eastAsia"/>
          <w:color w:val="000000"/>
          <w:kern w:val="0"/>
          <w:sz w:val="24"/>
          <w:szCs w:val="32"/>
        </w:rPr>
        <w:t xml:space="preserve">                           2017年3月15日</w:t>
      </w:r>
    </w:p>
    <w:p w:rsidR="00DD775C" w:rsidRPr="008466F1" w:rsidRDefault="00DD775C"/>
    <w:sectPr w:rsidR="00DD775C" w:rsidRPr="008466F1" w:rsidSect="00DD77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66F1"/>
    <w:rsid w:val="008466F1"/>
    <w:rsid w:val="00DD77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8646561">
      <w:bodyDiv w:val="1"/>
      <w:marLeft w:val="0"/>
      <w:marRight w:val="0"/>
      <w:marTop w:val="0"/>
      <w:marBottom w:val="0"/>
      <w:divBdr>
        <w:top w:val="none" w:sz="0" w:space="0" w:color="auto"/>
        <w:left w:val="none" w:sz="0" w:space="0" w:color="auto"/>
        <w:bottom w:val="none" w:sz="0" w:space="0" w:color="auto"/>
        <w:right w:val="none" w:sz="0" w:space="0" w:color="auto"/>
      </w:divBdr>
      <w:divsChild>
        <w:div w:id="2033535822">
          <w:marLeft w:val="0"/>
          <w:marRight w:val="0"/>
          <w:marTop w:val="0"/>
          <w:marBottom w:val="0"/>
          <w:divBdr>
            <w:top w:val="none" w:sz="0" w:space="0" w:color="auto"/>
            <w:left w:val="none" w:sz="0" w:space="0" w:color="auto"/>
            <w:bottom w:val="none" w:sz="0" w:space="0" w:color="auto"/>
            <w:right w:val="none" w:sz="0" w:space="0" w:color="auto"/>
          </w:divBdr>
          <w:divsChild>
            <w:div w:id="1154832406">
              <w:marLeft w:val="0"/>
              <w:marRight w:val="0"/>
              <w:marTop w:val="0"/>
              <w:marBottom w:val="0"/>
              <w:divBdr>
                <w:top w:val="none" w:sz="0" w:space="0" w:color="auto"/>
                <w:left w:val="none" w:sz="0" w:space="0" w:color="auto"/>
                <w:bottom w:val="none" w:sz="0" w:space="0" w:color="auto"/>
                <w:right w:val="none" w:sz="0" w:space="0" w:color="auto"/>
              </w:divBdr>
              <w:divsChild>
                <w:div w:id="85733561">
                  <w:marLeft w:val="0"/>
                  <w:marRight w:val="0"/>
                  <w:marTop w:val="0"/>
                  <w:marBottom w:val="0"/>
                  <w:divBdr>
                    <w:top w:val="none" w:sz="0" w:space="0" w:color="auto"/>
                    <w:left w:val="none" w:sz="0" w:space="0" w:color="auto"/>
                    <w:bottom w:val="none" w:sz="0" w:space="0" w:color="auto"/>
                    <w:right w:val="none" w:sz="0" w:space="0" w:color="auto"/>
                  </w:divBdr>
                  <w:divsChild>
                    <w:div w:id="14318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3130">
      <w:bodyDiv w:val="1"/>
      <w:marLeft w:val="0"/>
      <w:marRight w:val="0"/>
      <w:marTop w:val="0"/>
      <w:marBottom w:val="0"/>
      <w:divBdr>
        <w:top w:val="none" w:sz="0" w:space="0" w:color="auto"/>
        <w:left w:val="none" w:sz="0" w:space="0" w:color="auto"/>
        <w:bottom w:val="none" w:sz="0" w:space="0" w:color="auto"/>
        <w:right w:val="none" w:sz="0" w:space="0" w:color="auto"/>
      </w:divBdr>
      <w:divsChild>
        <w:div w:id="1143499659">
          <w:marLeft w:val="0"/>
          <w:marRight w:val="0"/>
          <w:marTop w:val="0"/>
          <w:marBottom w:val="0"/>
          <w:divBdr>
            <w:top w:val="none" w:sz="0" w:space="0" w:color="auto"/>
            <w:left w:val="none" w:sz="0" w:space="0" w:color="auto"/>
            <w:bottom w:val="none" w:sz="0" w:space="0" w:color="auto"/>
            <w:right w:val="none" w:sz="0" w:space="0" w:color="auto"/>
          </w:divBdr>
          <w:divsChild>
            <w:div w:id="1282149285">
              <w:marLeft w:val="0"/>
              <w:marRight w:val="0"/>
              <w:marTop w:val="0"/>
              <w:marBottom w:val="0"/>
              <w:divBdr>
                <w:top w:val="none" w:sz="0" w:space="0" w:color="auto"/>
                <w:left w:val="none" w:sz="0" w:space="0" w:color="auto"/>
                <w:bottom w:val="none" w:sz="0" w:space="0" w:color="auto"/>
                <w:right w:val="none" w:sz="0" w:space="0" w:color="auto"/>
              </w:divBdr>
              <w:divsChild>
                <w:div w:id="3256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Company>Sky123.Org</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2018-07-12T02:05:00Z</dcterms:created>
  <dcterms:modified xsi:type="dcterms:W3CDTF">2018-07-12T02:06:00Z</dcterms:modified>
</cp:coreProperties>
</file>