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Arial"/>
          <w:sz w:val="36"/>
          <w:szCs w:val="36"/>
        </w:rPr>
      </w:pPr>
      <w:r>
        <w:rPr>
          <w:rFonts w:hint="eastAsia" w:ascii="黑体" w:hAnsi="黑体" w:eastAsia="黑体" w:cs="Arial"/>
          <w:sz w:val="36"/>
          <w:szCs w:val="36"/>
        </w:rPr>
        <w:t>维普论文检测系统机构版</w:t>
      </w:r>
    </w:p>
    <w:p>
      <w:pPr>
        <w:jc w:val="center"/>
        <w:rPr>
          <w:rFonts w:ascii="Arial" w:hAnsi="Arial" w:eastAsia="黑体" w:cs="Arial"/>
          <w:b/>
          <w:bCs/>
          <w:sz w:val="48"/>
          <w:szCs w:val="48"/>
        </w:rPr>
      </w:pPr>
      <w:r>
        <w:rPr>
          <w:rFonts w:hint="eastAsia" w:ascii="Arial" w:hAnsi="Arial" w:eastAsia="黑体" w:cs="Arial"/>
          <w:b/>
          <w:bCs/>
          <w:sz w:val="48"/>
          <w:szCs w:val="48"/>
        </w:rPr>
        <w:t>学生自检操作简易手册</w:t>
      </w:r>
    </w:p>
    <w:p/>
    <w:p>
      <w:pPr>
        <w:pStyle w:val="12"/>
        <w:spacing w:before="100" w:beforeAutospacing="1" w:after="100" w:afterAutospacing="1" w:line="240" w:lineRule="auto"/>
        <w:rPr>
          <w:sz w:val="32"/>
          <w:szCs w:val="32"/>
        </w:rPr>
      </w:pPr>
      <w:r>
        <w:rPr>
          <w:rFonts w:hint="eastAsia"/>
          <w:sz w:val="32"/>
          <w:szCs w:val="32"/>
        </w:rPr>
        <w:t>一、系统网址</w:t>
      </w:r>
    </w:p>
    <w:p>
      <w:pPr>
        <w:ind w:firstLine="210" w:firstLineChars="100"/>
      </w:pPr>
      <w:r>
        <w:rPr>
          <w:rFonts w:hint="eastAsia"/>
        </w:rPr>
        <w:t>贵州大学专用检测网址：</w:t>
      </w:r>
      <w:r>
        <w:fldChar w:fldCharType="begin"/>
      </w:r>
      <w:r>
        <w:instrText xml:space="preserve"> HYPERLINK "http://vpcs.cqvip.com/personal/gzu" </w:instrText>
      </w:r>
      <w:r>
        <w:fldChar w:fldCharType="separate"/>
      </w:r>
      <w:r>
        <w:rPr>
          <w:rStyle w:val="8"/>
        </w:rPr>
        <w:t>http://vpcs.cqvip.com/personal/gzu</w:t>
      </w:r>
      <w:r>
        <w:rPr>
          <w:rStyle w:val="8"/>
        </w:rPr>
        <w:fldChar w:fldCharType="end"/>
      </w:r>
    </w:p>
    <w:p>
      <w:pPr>
        <w:ind w:firstLine="210" w:firstLineChars="100"/>
        <w:rPr>
          <w:rFonts w:hint="eastAsia"/>
        </w:rPr>
      </w:pPr>
      <w:r>
        <w:t>通过该通道检测论文的报告中添加有学校水印字样</w:t>
      </w:r>
      <w:r>
        <w:rPr>
          <w:rFonts w:hint="eastAsia"/>
        </w:rPr>
        <w:t>，</w:t>
      </w:r>
      <w:r>
        <w:t>便于</w:t>
      </w:r>
      <w:r>
        <w:rPr>
          <w:rFonts w:hint="eastAsia"/>
        </w:rPr>
        <w:t>鉴别</w:t>
      </w:r>
      <w:r>
        <w:t>报告真伪</w:t>
      </w:r>
      <w:r>
        <w:rPr>
          <w:rFonts w:hint="eastAsia"/>
        </w:rPr>
        <w:t>。</w:t>
      </w:r>
    </w:p>
    <w:p>
      <w:pPr>
        <w:ind w:firstLine="210" w:firstLineChars="100"/>
      </w:pPr>
      <w:r>
        <w:t>检测</w:t>
      </w:r>
      <w:r>
        <w:rPr>
          <w:rFonts w:hint="eastAsia"/>
        </w:rPr>
        <w:t>单价</w:t>
      </w:r>
      <w:r>
        <w:t>与官网一致</w:t>
      </w:r>
      <w:r>
        <w:rPr>
          <w:rFonts w:hint="eastAsia"/>
        </w:rPr>
        <w:t>。</w:t>
      </w:r>
    </w:p>
    <w:p>
      <w:pPr>
        <w:ind w:firstLine="210" w:firstLineChars="100"/>
      </w:pPr>
    </w:p>
    <w:p>
      <w:pPr>
        <w:pStyle w:val="12"/>
        <w:spacing w:before="100" w:beforeAutospacing="1" w:after="100" w:afterAutospacing="1" w:line="240" w:lineRule="auto"/>
        <w:rPr>
          <w:sz w:val="32"/>
          <w:szCs w:val="32"/>
        </w:rPr>
      </w:pPr>
      <w:r>
        <w:rPr>
          <w:rFonts w:hint="eastAsia"/>
          <w:sz w:val="32"/>
          <w:szCs w:val="32"/>
        </w:rPr>
        <w:t>二、操作流程</w:t>
      </w:r>
    </w:p>
    <w:p>
      <w:pPr>
        <w:pStyle w:val="12"/>
        <w:spacing w:before="100" w:beforeAutospacing="1" w:after="100" w:afterAutospacing="1" w:line="240" w:lineRule="auto"/>
        <w:rPr>
          <w:rFonts w:ascii="Calibri" w:hAnsi="Calibri"/>
          <w:b w:val="0"/>
          <w:bCs w:val="0"/>
          <w:kern w:val="2"/>
          <w:sz w:val="21"/>
          <w:szCs w:val="22"/>
        </w:rPr>
      </w:pPr>
      <w:r>
        <w:rPr>
          <w:rFonts w:hint="eastAsia" w:ascii="Calibri" w:hAnsi="Calibri"/>
          <w:b w:val="0"/>
          <w:bCs w:val="0"/>
          <w:kern w:val="2"/>
          <w:sz w:val="21"/>
          <w:szCs w:val="22"/>
        </w:rPr>
        <w:t>第一步：进入系统页面后，点击学生自检入口，注册账号，然后输入账户名和密码进入系统</w:t>
      </w:r>
    </w:p>
    <w:p>
      <w:pPr>
        <w:jc w:val="center"/>
      </w:pPr>
      <w:r>
        <w:drawing>
          <wp:inline distT="0" distB="0" distL="0" distR="0">
            <wp:extent cx="6045200" cy="3556000"/>
            <wp:effectExtent l="1905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3556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ind w:left="840" w:hanging="840" w:hangingChars="400"/>
        <w:rPr>
          <w:b/>
          <w:color w:val="FF0000"/>
        </w:rPr>
      </w:pPr>
      <w:r>
        <w:rPr>
          <w:rFonts w:hint="eastAsia"/>
          <w:bCs/>
        </w:rPr>
        <w:t>第二步：进入系统页面后，选择大学生版，输入论文标题、作者后，点击选择文件，上传毕业论文正文的文档备查</w:t>
      </w:r>
    </w:p>
    <w:p>
      <w:pPr>
        <w:jc w:val="center"/>
      </w:pPr>
      <w:r>
        <w:drawing>
          <wp:inline distT="0" distB="0" distL="0" distR="0">
            <wp:extent cx="5683250" cy="3333750"/>
            <wp:effectExtent l="19050" t="0" r="0" b="0"/>
            <wp:docPr id="3" name="图片 9" descr="751}WKNP22]3Z}JTT362H$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 descr="751}WKNP22]3Z}JTT362H$U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8325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pPr>
        <w:rPr>
          <w:bCs/>
        </w:rPr>
      </w:pPr>
    </w:p>
    <w:p>
      <w:pPr>
        <w:rPr>
          <w:b/>
          <w:bCs/>
        </w:rPr>
      </w:pPr>
      <w:r>
        <w:rPr>
          <w:rFonts w:hint="eastAsia"/>
          <w:bCs/>
        </w:rPr>
        <w:t>第三步：</w:t>
      </w:r>
      <w:r>
        <w:rPr>
          <w:rFonts w:hint="eastAsia"/>
          <w:lang w:eastAsia="zh-CN"/>
        </w:rPr>
        <w:t>学生登录网址自费查重，</w:t>
      </w:r>
      <w:r>
        <w:rPr>
          <w:rFonts w:hint="eastAsia"/>
          <w:bCs/>
        </w:rPr>
        <w:t>系统会自动计算检测字数，并根据收费标准计算出</w:t>
      </w:r>
      <w:r>
        <w:rPr>
          <w:rFonts w:hint="eastAsia"/>
        </w:rPr>
        <w:t>支付金额，学生可选择多种方式进行在线充值缴费</w:t>
      </w:r>
      <w:r>
        <w:rPr>
          <w:rFonts w:hint="eastAsia"/>
          <w:lang w:eastAsia="zh-CN"/>
        </w:rPr>
        <w:t>，</w:t>
      </w:r>
      <w:r>
        <w:rPr>
          <w:rFonts w:hint="eastAsia"/>
          <w:b/>
          <w:bCs/>
          <w:lang w:eastAsia="zh-CN"/>
        </w:rPr>
        <w:t>查重报告必须在提交论文之前将通过检测的PDF查重报告交给各班主任，如果是社会考生提交论文，将通过检测</w:t>
      </w:r>
      <w:r>
        <w:rPr>
          <w:rFonts w:hint="eastAsia"/>
          <w:b/>
          <w:bCs/>
          <w:lang w:val="en-US" w:eastAsia="zh-CN"/>
        </w:rPr>
        <w:t>PDF查重报告发送至QQ邮箱：645131047@qq.com</w:t>
      </w:r>
    </w:p>
    <w:p>
      <w:pPr>
        <w:jc w:val="center"/>
      </w:pPr>
      <w:r>
        <w:drawing>
          <wp:inline distT="0" distB="0" distL="0" distR="0">
            <wp:extent cx="5626100" cy="4000500"/>
            <wp:effectExtent l="0" t="0" r="12700" b="0"/>
            <wp:docPr id="4" name="图片 11" descr="BD1[$CJ6RFQBAYFVL695ZD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" descr="BD1[$CJ6RFQBAYFVL695ZD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1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0" distR="0">
            <wp:extent cx="5575300" cy="1397000"/>
            <wp:effectExtent l="19050" t="0" r="6350" b="0"/>
            <wp:docPr id="5" name="图片 5" descr="J18K%0ZO52{$}G517]]08{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J18K%0ZO52{$}G517]]08{K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75300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pPr>
        <w:rPr>
          <w:bCs/>
        </w:rPr>
      </w:pPr>
      <w:r>
        <w:rPr>
          <w:rFonts w:hint="eastAsia"/>
          <w:bCs/>
        </w:rPr>
        <w:t>第四步：充值成功后，系统进入检测状态，一般情况下，预计15-20分钟左右可查看检测报告，如遇检测系统高峰期则检测时间不定。学生将检测报告下载提交学院备案（温馨提示：论文检测需根据学生自身完成进度而定，终稿正文基本成形可提交检测，如结果超出学院既定标准则有时间进行修改，修改后的文档可再次检测，检测达标后将向学院提交检测报告）</w:t>
      </w:r>
    </w:p>
    <w:p>
      <w:pPr>
        <w:widowControl/>
        <w:jc w:val="center"/>
        <w:rPr>
          <w:rFonts w:hint="eastAsia" w:ascii="宋体" w:hAnsi="宋体" w:cs="宋体"/>
          <w:kern w:val="0"/>
          <w:sz w:val="24"/>
          <w:szCs w:val="24"/>
        </w:rPr>
      </w:pPr>
      <w:r>
        <w:drawing>
          <wp:inline distT="0" distB="0" distL="0" distR="0">
            <wp:extent cx="5293995" cy="3022600"/>
            <wp:effectExtent l="19050" t="0" r="1279" b="0"/>
            <wp:docPr id="1" name="图片 1" descr="http://cj.heuet.edu.cn/jxjy/upload/wz/2017516112121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cj.heuet.edu.cn/jxjy/upload/wz/20175161121216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94621" cy="302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cs="宋体"/>
          <w:b/>
          <w:color w:val="FF0000"/>
          <w:kern w:val="0"/>
          <w:sz w:val="24"/>
          <w:szCs w:val="24"/>
        </w:rPr>
      </w:pPr>
      <w:r>
        <w:rPr>
          <w:rFonts w:hint="eastAsia"/>
          <w:b/>
          <w:bCs/>
          <w:color w:val="FF0000"/>
        </w:rPr>
        <w:t>下载的报告为压缩包文件，压缩包解压后，将PDF报告文件按学生姓名+学号的方式修改命名，例如：李好</w:t>
      </w:r>
      <w:r>
        <w:rPr>
          <w:b/>
          <w:bCs/>
          <w:color w:val="FF0000"/>
        </w:rPr>
        <w:t>W12345678</w:t>
      </w:r>
      <w:r>
        <w:rPr>
          <w:rFonts w:hint="eastAsia"/>
          <w:b/>
          <w:bCs/>
          <w:color w:val="FF0000"/>
        </w:rPr>
        <w:t>。修改后的报告提交所属学习中心，由学习中心汇总后统一提交学院备案</w:t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drawing>
          <wp:inline distT="0" distB="0" distL="0" distR="0">
            <wp:extent cx="5200650" cy="1250950"/>
            <wp:effectExtent l="19050" t="0" r="0" b="0"/>
            <wp:docPr id="8" name="图片 8" descr="DANXZ_@]7%4}E9RVEW6[A7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DANXZ_@]7%4}E9RVEW6[A7H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125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drawing>
          <wp:inline distT="0" distB="0" distL="0" distR="0">
            <wp:extent cx="5156200" cy="1308100"/>
            <wp:effectExtent l="19050" t="0" r="6350" b="0"/>
            <wp:docPr id="9" name="图片 13" descr="TZEB$`G]{P5PMSOH%EXM%%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3" descr="TZEB$`G]{P5PMSOH%EXM%%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56200" cy="130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rPr>
          <w:bCs/>
        </w:rPr>
      </w:pPr>
      <w:r>
        <w:rPr>
          <w:bCs/>
        </w:rPr>
        <w:t>在收集到同学上交的论文原稿和查重报告后</w:t>
      </w:r>
      <w:r>
        <w:rPr>
          <w:rFonts w:hint="eastAsia"/>
          <w:bCs/>
        </w:rPr>
        <w:t>，</w:t>
      </w:r>
      <w:r>
        <w:rPr>
          <w:bCs/>
        </w:rPr>
        <w:t>学院会对部分学生论文进行抽查</w:t>
      </w:r>
      <w:r>
        <w:rPr>
          <w:rFonts w:hint="eastAsia"/>
          <w:bCs/>
          <w:lang w:eastAsia="zh-CN"/>
        </w:rPr>
        <w:t>，</w:t>
      </w:r>
      <w:r>
        <w:rPr>
          <w:rStyle w:val="7"/>
          <w:rFonts w:hint="eastAsia" w:ascii="仿宋_gb2312" w:eastAsia="仿宋_gb2312"/>
          <w:color w:val="000000"/>
          <w:sz w:val="18"/>
          <w:szCs w:val="18"/>
          <w:shd w:val="clear" w:color="auto" w:fill="FFFFFF"/>
        </w:rPr>
        <w:t>未通过毕业论文（毕业设计）检测抽查的毕业生，学位申请不予受理。</w: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注意：论文重复率不能超过</w:t>
      </w:r>
      <w:r>
        <w:rPr>
          <w:rFonts w:hint="eastAsia"/>
          <w:b/>
          <w:bCs/>
          <w:sz w:val="28"/>
          <w:szCs w:val="28"/>
          <w:lang w:val="en-US" w:eastAsia="zh-CN"/>
        </w:rPr>
        <w:t>30%，超过30%的毕业论文及未交查重报告的考生不允许提交，否则成绩无效。</w:t>
      </w:r>
    </w:p>
    <w:p>
      <w:pPr>
        <w:tabs>
          <w:tab w:val="left" w:pos="5863"/>
        </w:tabs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</w:t>
      </w:r>
    </w:p>
    <w:p>
      <w:pP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_GoBack"/>
      <w:bookmarkEnd w:id="0"/>
    </w:p>
    <w:p>
      <w:pP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tabs>
          <w:tab w:val="left" w:pos="2139"/>
        </w:tabs>
        <w:jc w:val="left"/>
        <w:rPr>
          <w:rFonts w:hint="eastAsia"/>
          <w:lang w:val="en-US" w:eastAsia="zh-CN"/>
        </w:rPr>
      </w:pP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65D3"/>
    <w:rsid w:val="00013DED"/>
    <w:rsid w:val="002965D3"/>
    <w:rsid w:val="00CD41E8"/>
    <w:rsid w:val="00F265B1"/>
    <w:rsid w:val="03DE0B34"/>
    <w:rsid w:val="041170F4"/>
    <w:rsid w:val="04C01A31"/>
    <w:rsid w:val="056F349C"/>
    <w:rsid w:val="07581320"/>
    <w:rsid w:val="09997713"/>
    <w:rsid w:val="107C7AD3"/>
    <w:rsid w:val="1930296B"/>
    <w:rsid w:val="1A0578A2"/>
    <w:rsid w:val="1C672333"/>
    <w:rsid w:val="1CDF1D5B"/>
    <w:rsid w:val="2376603C"/>
    <w:rsid w:val="2DBC402C"/>
    <w:rsid w:val="2DF753EB"/>
    <w:rsid w:val="2F3D6805"/>
    <w:rsid w:val="31AF31C0"/>
    <w:rsid w:val="31C3505F"/>
    <w:rsid w:val="31F74340"/>
    <w:rsid w:val="34C2294C"/>
    <w:rsid w:val="39383FE5"/>
    <w:rsid w:val="3B2F3B13"/>
    <w:rsid w:val="3E923E0D"/>
    <w:rsid w:val="46E428C1"/>
    <w:rsid w:val="4D795BE9"/>
    <w:rsid w:val="4FB473E9"/>
    <w:rsid w:val="508155C1"/>
    <w:rsid w:val="521009B7"/>
    <w:rsid w:val="521B437A"/>
    <w:rsid w:val="5AE53E04"/>
    <w:rsid w:val="624D4A53"/>
    <w:rsid w:val="68F10AD5"/>
    <w:rsid w:val="6DFF7E78"/>
    <w:rsid w:val="6EC72AC4"/>
    <w:rsid w:val="6F132436"/>
    <w:rsid w:val="6FC27B76"/>
    <w:rsid w:val="79B360A5"/>
    <w:rsid w:val="7BAB032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semiHidden/>
    <w:qFormat/>
    <w:uiPriority w:val="99"/>
    <w:rPr>
      <w:sz w:val="18"/>
      <w:szCs w:val="18"/>
    </w:rPr>
  </w:style>
  <w:style w:type="paragraph" w:customStyle="1" w:styleId="12">
    <w:name w:val="标题一"/>
    <w:basedOn w:val="2"/>
    <w:qFormat/>
    <w:uiPriority w:val="0"/>
    <w:rPr>
      <w:rFonts w:ascii="Times New Roman" w:hAnsi="Times New Roman"/>
      <w:sz w:val="36"/>
      <w:szCs w:val="36"/>
    </w:rPr>
  </w:style>
  <w:style w:type="character" w:customStyle="1" w:styleId="13">
    <w:name w:val="标题 1 Char"/>
    <w:basedOn w:val="6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4">
    <w:name w:val="批注框文本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98</Words>
  <Characters>564</Characters>
  <Lines>4</Lines>
  <Paragraphs>1</Paragraphs>
  <ScaleCrop>false</ScaleCrop>
  <LinksUpToDate>false</LinksUpToDate>
  <CharactersWithSpaces>661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2019-02-26T11:47:00Z</dcterms:created>
  <dc:creator>肖松</dc:creator>
  <cp:lastModifiedBy>d</cp:lastModifiedBy>
  <cp:lastPrinted>2019-03-05T01:32:00Z</cp:lastPrinted>
  <dcterms:modified xsi:type="dcterms:W3CDTF">2019-08-18T03:39:57Z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