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85" w:lineRule="atLeast"/>
        <w:ind w:left="0" w:right="0" w:firstLine="0"/>
        <w:jc w:val="center"/>
        <w:rPr>
          <w:rFonts w:ascii="Verdana" w:hAnsi="Verdana" w:cs="Verdana"/>
          <w:b w:val="0"/>
          <w:i w:val="0"/>
          <w:caps w:val="0"/>
          <w:color w:val="333333"/>
          <w:spacing w:val="0"/>
          <w:sz w:val="19"/>
          <w:szCs w:val="19"/>
        </w:rPr>
      </w:pPr>
      <w:r>
        <w:rPr>
          <w:rFonts w:ascii="黑体" w:hAnsi="Verdana" w:eastAsia="黑体" w:cs="黑体"/>
          <w:b/>
          <w:i w:val="0"/>
          <w:caps w:val="0"/>
          <w:color w:val="333333"/>
          <w:spacing w:val="0"/>
          <w:kern w:val="0"/>
          <w:sz w:val="43"/>
          <w:szCs w:val="43"/>
          <w:shd w:val="clear" w:fill="FFFFFF"/>
          <w:lang w:val="en-US" w:eastAsia="zh-CN" w:bidi="ar"/>
        </w:rPr>
        <w:t>河北师大自学考试本科专业主干课程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Style w:val="2"/>
        <w:tblW w:w="94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0"/>
        <w:gridCol w:w="1441"/>
        <w:gridCol w:w="57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专</w:t>
            </w:r>
            <w:r>
              <w:rPr>
                <w:rFonts w:hint="default" w:ascii="楷体_gb2312" w:hAnsi="楷体_gb2312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 业</w:t>
            </w:r>
          </w:p>
        </w:tc>
        <w:tc>
          <w:tcPr>
            <w:tcW w:w="721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楷体_gb2312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主  干  课  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汉语言文学教育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汉语言文学（电大）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语言学概论、中国现代文学史、中国古代文学史(一)、中国古代文学史(二)、外国文学史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高级英语、英语写作、口译与听力、英语翻译、英美文学选读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英语教育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高级英语、英语写作、口译与听力、英语翻译、英美文学选读、现代语言学、外语教学法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餐饮管理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中国饮食文化、餐饮企业人力资源管理、餐饮企业财务管理、餐饮企业信息管理、餐饮企业战略管理、宴会设计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法律教育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国际私法、行政法学、环境与资源保护法学、知识产权法、国际经济法概论、合同法、金融法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教育管理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教育经济学、教育法学、教育管理原理、中外教育管理史、教育管理心理学、教育评估和督导、中小学教育管理(学前教育管理/高等教育管理)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人生哲学、社会学概论、中国特色社会主义理论与实践、当代资本主义、中国传统道德、政治学概论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体育史、体育教育学、健美操/营养学、运动训练学、体育保健学、体育测量与评价、体育统计学、体育科研理论与方法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音乐分析与创作、中外音乐史、伴奏、简明配器法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美术技法理论、美术鉴赏、素描(四)、油画(高师)、艺术设计(高师)、中国画论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历史教育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中国传统文化、中国近代史专题、中国现(当)代史专题、世界近代史新体系、世界现(当)代史专题、中国古代经济史、世界文化史(高师)、中国近代经济史(高师)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数学教育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拓扑学基础、抽象代数、概率论与数理统计(一)、复变函数论、高级语言程序设计(一)、数学教育学、实变与泛函分析初步、初等数论、微分几何、偏微分方程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物理教育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数学物理方法、电动力学、物理教育学、热力学与统计物理、量子力学、近代物理实验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化学教育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高级语言程序设计(一)、仪器分析(一)、化工基础、化学教育学、中级无机化学、中级有机化学、物理化学(二)、结构化学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生物教育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生物统计学、细胞生物学、生物学基本实验技术、组织胚胎学、生态学概论、进化生物学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地理教育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经济地理学导论、地理教育学、现代自然地理学、人文地理学概论、计量地理与地理信息系统、区域科学原理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计算机教育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离散数学、高等数学(工本)、数据结构、数据库原理、计算机网络与通信、计算机系统结构、操作系统、面向对象程序设计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计算机网络基本原理、数据通信技术、TCP/IP技术、网络数据库技术、密码学与网络安全、综合布线与工程管理、计算机网络工程设计、网络应用与开发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义务教育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初中语文、初中数学、初中英语</w:t>
            </w:r>
          </w:p>
        </w:tc>
        <w:tc>
          <w:tcPr>
            <w:tcW w:w="577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义务教育教师专业发展导论、有效教学的理论与方法、(初中语文、初中数学、初中英语)学科基础、(初中语文、初中数学、初中英语)课程与教学、(初中语文、初中数学、初中英语)教学实践与反思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义务教育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小学教育方向</w:t>
            </w:r>
          </w:p>
        </w:tc>
        <w:tc>
          <w:tcPr>
            <w:tcW w:w="57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义务教育教师专业发展导论、有效教学的理论与方法、中外教育简史、心理卫生与心理辅导、义务教育班级管理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艺术设计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视觉传达设计方向</w:t>
            </w:r>
          </w:p>
        </w:tc>
        <w:tc>
          <w:tcPr>
            <w:tcW w:w="57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艺术设计基础、 现代设计史、电脑动画设计（实践）、编排设计、系列书籍装帧设计、网页设计（实践）、CI(VI)设计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艺术设计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室内设计方向</w:t>
            </w:r>
          </w:p>
        </w:tc>
        <w:tc>
          <w:tcPr>
            <w:tcW w:w="57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艺术设计基础、 现代设计史、电脑动画设计（实践）、编排设计、室内陈设艺术设计、室内空间环境设计原理、公共景观艺术设计（实践）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产品设计研究、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产品设计研究(实践)、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产品系统化设计、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产品系统化设计（实践）、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工业设计史、互动媒体设计、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互动媒体设计（实践）、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设计管理、计算机辅助设计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4E697D"/>
    <w:rsid w:val="32B22155"/>
    <w:rsid w:val="394E697D"/>
    <w:rsid w:val="46DB156D"/>
    <w:rsid w:val="4D7447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2020-05-14T02:35:00Z</dcterms:created>
  <dc:creator>Administrator</dc:creator>
  <cp:lastModifiedBy>会心一笑</cp:lastModifiedBy>
  <dcterms:modified xsi:type="dcterms:W3CDTF">2020-10-16T07:48:08Z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