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ED682A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7E0000">
        <w:rPr>
          <w:rFonts w:ascii="仿宋" w:eastAsia="仿宋" w:hAnsi="仿宋" w:cs="宋体" w:hint="eastAsia"/>
          <w:b/>
          <w:bCs/>
          <w:spacing w:val="5"/>
          <w:kern w:val="0"/>
          <w:sz w:val="30"/>
          <w:szCs w:val="30"/>
          <w:highlight w:val="yellow"/>
        </w:rPr>
        <w:t>会计</w:t>
      </w:r>
      <w:r w:rsidR="0020162B">
        <w:rPr>
          <w:rFonts w:ascii="仿宋" w:eastAsia="仿宋" w:hAnsi="仿宋" w:cs="宋体" w:hint="eastAsia"/>
          <w:b/>
          <w:bCs/>
          <w:spacing w:val="5"/>
          <w:kern w:val="0"/>
          <w:sz w:val="30"/>
          <w:szCs w:val="30"/>
          <w:highlight w:val="yellow"/>
        </w:rPr>
        <w:t>学</w:t>
      </w:r>
      <w:r>
        <w:rPr>
          <w:rFonts w:ascii="仿宋" w:eastAsia="仿宋" w:hAnsi="仿宋" w:cs="宋体" w:hint="eastAsia"/>
          <w:b/>
          <w:bCs/>
          <w:spacing w:val="5"/>
          <w:kern w:val="0"/>
          <w:sz w:val="30"/>
          <w:szCs w:val="30"/>
          <w:highlight w:val="yellow"/>
        </w:rPr>
        <w:t>（会计）</w:t>
      </w:r>
      <w:r w:rsidRPr="007E0000">
        <w:rPr>
          <w:rFonts w:ascii="仿宋" w:eastAsia="仿宋" w:hAnsi="仿宋" w:cs="宋体" w:hint="eastAsia"/>
          <w:b/>
          <w:bCs/>
          <w:spacing w:val="5"/>
          <w:kern w:val="0"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1、企业合并的会计处理方法探讨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2、会计政策的选择及其影响分析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3、浅析财务报告的局限性及其改进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4、会计利润与应税所得的差异分析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5、资产负债表债务法与利润表债务法的比较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对反倾销背景下会计管理问题的思考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浅析反倾销会计问题与对策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反倾销与反倾销会计体制的建立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会计信息的披露及有效性的探讨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会计环境的变化与财务报告改革目标的探讨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上市公司财务报告质量评价问题的探讨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企业内部控制目标的探讨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新会计准则下商誉会计问题探讨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lastRenderedPageBreak/>
        <w:t>14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浅议谨慎性原则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存货计价方法的比较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浅谈会计国际化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</w:t>
      </w:r>
      <w:r>
        <w:rPr>
          <w:rFonts w:ascii="仿宋" w:eastAsia="仿宋" w:hAnsi="仿宋"/>
          <w:color w:val="151515"/>
          <w:sz w:val="30"/>
          <w:szCs w:val="30"/>
        </w:rPr>
        <w:t>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提高会计信息质量的对策探讨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应收账款管理的探讨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19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融资租赁与经营租赁的比较研究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20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试述公允价值在财务报告中的应用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所得税会计问题探讨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 w:rsidRPr="00D16264">
        <w:rPr>
          <w:rFonts w:ascii="仿宋" w:eastAsia="仿宋" w:hAnsi="仿宋" w:hint="eastAsia"/>
          <w:color w:val="151515"/>
          <w:sz w:val="30"/>
          <w:szCs w:val="30"/>
        </w:rPr>
        <w:t>2</w:t>
      </w:r>
      <w:r>
        <w:rPr>
          <w:rFonts w:ascii="仿宋" w:eastAsia="仿宋" w:hAnsi="仿宋"/>
          <w:color w:val="151515"/>
          <w:sz w:val="30"/>
          <w:szCs w:val="30"/>
        </w:rPr>
        <w:t>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资产负债表债务法问题探讨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浅议公允价值在企业中的应用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关于公允价值计量属性问题的探讨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关于资产减值会计问题的探讨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关于人力资源会计问题的探讨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关于会计信息披露问题的探讨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浅议我国会计准则的国际趋同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29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企业合并会计问题探讨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股票期权会计问题的探讨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实质重于形式原则在会计实务中的应用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浅议我国上市公司关联方交易问题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上市公司盈余管理问题探讨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关于会计报表调整问题的研究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关于企业会计政策选择的探讨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lastRenderedPageBreak/>
        <w:t>36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对研发支出费用化与资本化博弈的问题探讨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对新企业所得税法下相关会计问题的研究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对标准成本法在我国企业中运用的探讨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39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浅析谨慎性原则在会计实务中的应用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企业研发支出会计处理探讨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会计方法选择与纳税关系辨析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试论收入确认原则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财务会计概念框架的国际比较研究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试论谨慎性原则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试论收益呈报的改革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会计环境对会计目标的影响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会计要素的比较研究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小企业会计准则的建设问题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49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试论会计的计量属性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论合并理念对少数股东权益计量的影响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合并商誉减值测试的合理性问题研究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关于合并所有者权益变动表的编制问题研究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谈合并财务报表的解读思路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现金流量套期与公允价值套期会计的比较研究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关于合并报表编制程序中的调整问题的思考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同一控制下企业合并会计处理方法的选择问题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期汇合约在套期会计中的应用问题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lastRenderedPageBreak/>
        <w:t>58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合并净收益的影响因素分析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59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合并财务报表基本理论与方法研究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中外合并报表理论与方法之比较研究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企业年金会计问题研究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股份支付会计问题研究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股份回购会计问题研究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股东权益变动表的应用研究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关于资产负债表重要性的探讨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试述每股收益的计算与列报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会计信息质量现状及对策探讨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可抵扣暂时性差异与应纳税暂时性差异的区别与联系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69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所得税会计处理问题探讨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企业合并会计处理问题探讨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71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外币财务报表折算问题探讨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72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合并财务报表编制问题探讨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 w:hint="eastAsia"/>
          <w:color w:val="151515"/>
          <w:sz w:val="30"/>
          <w:szCs w:val="30"/>
        </w:rPr>
        <w:t>7</w:t>
      </w:r>
      <w:r>
        <w:rPr>
          <w:rFonts w:ascii="仿宋" w:eastAsia="仿宋" w:hAnsi="仿宋"/>
          <w:color w:val="151515"/>
          <w:sz w:val="30"/>
          <w:szCs w:val="30"/>
        </w:rPr>
        <w:t>3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我国企业收益报告的局限性及改进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74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资产负债观及其在我国会计准则中的应用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75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商誉会计准则的完善问题探讨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76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新会计准则对企业盈利状况的影响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77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衍生金融工具的核算问题研究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78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成本控制的实际运用案例分析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t>79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长期投资决策相关问题研究</w:t>
      </w:r>
    </w:p>
    <w:p w:rsidR="00ED682A" w:rsidRPr="00D16264" w:rsidRDefault="00ED682A" w:rsidP="00ED682A">
      <w:pPr>
        <w:rPr>
          <w:rFonts w:ascii="仿宋" w:eastAsia="仿宋" w:hAnsi="仿宋"/>
          <w:color w:val="151515"/>
          <w:sz w:val="30"/>
          <w:szCs w:val="30"/>
        </w:rPr>
      </w:pPr>
      <w:r>
        <w:rPr>
          <w:rFonts w:ascii="仿宋" w:eastAsia="仿宋" w:hAnsi="仿宋"/>
          <w:color w:val="151515"/>
          <w:sz w:val="30"/>
          <w:szCs w:val="30"/>
        </w:rPr>
        <w:lastRenderedPageBreak/>
        <w:t>80</w:t>
      </w:r>
      <w:r>
        <w:rPr>
          <w:rFonts w:ascii="仿宋" w:eastAsia="仿宋" w:hAnsi="仿宋" w:hint="eastAsia"/>
          <w:color w:val="151515"/>
          <w:sz w:val="30"/>
          <w:szCs w:val="30"/>
        </w:rPr>
        <w:t>、</w:t>
      </w:r>
      <w:r w:rsidRPr="00D16264">
        <w:rPr>
          <w:rFonts w:ascii="仿宋" w:eastAsia="仿宋" w:hAnsi="仿宋" w:hint="eastAsia"/>
          <w:color w:val="151515"/>
          <w:sz w:val="30"/>
          <w:szCs w:val="30"/>
        </w:rPr>
        <w:t>会计信息质量特征及其应用</w:t>
      </w:r>
    </w:p>
    <w:p w:rsidR="00CF5C5B" w:rsidRPr="00ED682A" w:rsidRDefault="00CF5C5B" w:rsidP="00ED682A"/>
    <w:sectPr w:rsidR="00CF5C5B" w:rsidRPr="00ED68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13" w:rsidRDefault="00FF4813" w:rsidP="0020162B">
      <w:r>
        <w:separator/>
      </w:r>
    </w:p>
  </w:endnote>
  <w:endnote w:type="continuationSeparator" w:id="0">
    <w:p w:rsidR="00FF4813" w:rsidRDefault="00FF4813" w:rsidP="0020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13" w:rsidRDefault="00FF4813" w:rsidP="0020162B">
      <w:r>
        <w:separator/>
      </w:r>
    </w:p>
  </w:footnote>
  <w:footnote w:type="continuationSeparator" w:id="0">
    <w:p w:rsidR="00FF4813" w:rsidRDefault="00FF4813" w:rsidP="00201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20162B"/>
    <w:rsid w:val="00434ED1"/>
    <w:rsid w:val="004E2B9C"/>
    <w:rsid w:val="004E7828"/>
    <w:rsid w:val="005213CF"/>
    <w:rsid w:val="0074062D"/>
    <w:rsid w:val="008F6FDF"/>
    <w:rsid w:val="00904846"/>
    <w:rsid w:val="00AA5099"/>
    <w:rsid w:val="00CF5C5B"/>
    <w:rsid w:val="00D14810"/>
    <w:rsid w:val="00DE60DC"/>
    <w:rsid w:val="00E35C79"/>
    <w:rsid w:val="00ED682A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201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0162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01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016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2021-01-13T02:42:00Z</dcterms:created>
  <dcterms:modified xsi:type="dcterms:W3CDTF">2021-01-13T03:08:00Z</dcterms:modified>
</cp:coreProperties>
</file>