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285" w:lineRule="atLeast"/>
        <w:ind w:left="0" w:right="0" w:firstLine="0"/>
        <w:jc w:val="center"/>
        <w:rPr>
          <w:rFonts w:ascii="Verdana" w:hAnsi="Verdana" w:cs="Verdana"/>
          <w:b w:val="0"/>
          <w:i w:val="0"/>
          <w:caps w:val="0"/>
          <w:color w:val="333333"/>
          <w:spacing w:val="0"/>
          <w:sz w:val="19"/>
          <w:szCs w:val="19"/>
        </w:rPr>
      </w:pPr>
      <w:r>
        <w:rPr>
          <w:rFonts w:ascii="黑体" w:hAnsi="Verdana" w:eastAsia="黑体" w:cs="黑体"/>
          <w:b/>
          <w:i w:val="0"/>
          <w:caps w:val="0"/>
          <w:color w:val="333333"/>
          <w:spacing w:val="0"/>
          <w:kern w:val="0"/>
          <w:sz w:val="43"/>
          <w:szCs w:val="43"/>
          <w:shd w:val="clear" w:fill="FFFFFF"/>
          <w:lang w:val="en-US" w:eastAsia="zh-CN" w:bidi="ar"/>
        </w:rPr>
        <w:t>河北师大自学考试本科专业主干课程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Style w:val="3"/>
        <w:tblW w:w="940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90"/>
        <w:gridCol w:w="1441"/>
        <w:gridCol w:w="57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楷体_gb2312" w:hAnsi="楷体_gb2312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专</w:t>
            </w:r>
            <w:r>
              <w:rPr>
                <w:rFonts w:hint="default" w:ascii="楷体_gb2312" w:hAnsi="楷体_gb2312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 业</w:t>
            </w:r>
          </w:p>
        </w:tc>
        <w:tc>
          <w:tcPr>
            <w:tcW w:w="721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hAnsi="楷体_gb2312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主  干  课  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汉语言文学教育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汉语言文学（电大）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语言学概论、中国现代文学史、中国古代文学史(一)、中国古代文学史(二)、外国文学史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高级英语、英语写作、口译与听力、英语翻译、英美文学选读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英语教育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高级英语、英语写作、口译与听力、英语翻译、英美文学选读、现代语言学、外语教学法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教育管理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教育经济学、教育法学、教育管理原理、中外教育管理史、教育管理心理学、教育评估和督导、中小学教育管理(学前教育管理/高等教育管理)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人生哲学、社会学概论、中国特色社会主义理论与实践、当代资本主义、中国传统道德、政治学概论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美术技法理论、美术鉴赏、素描(四)、油画(高师)、艺术设计(高师)、中国画论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历史教育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中国传统文化、中国近代史专题、中国现(当)代史专题、世界近代史新体系、世界现(当)代史专题、中国古代经济史、世界文化史(高师)、中国近代经济史(高师)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数学教育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拓扑学基础、抽象代数、概率论与数理统计(一)、复变函数论、高级语言程序设计(一)、数学教育学、实变与泛函分析初步、初等数论、微分几何、偏微分方程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物理教育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数学物理方法、电动力学、物理教育学、热力学与统计物理、量子力学、近代物理实验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化学教育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高级语言程序设计(一)、仪器分析(一)、化工基础、化学教育学、中级无机化学、中级有机化学、物理化学(二)、结构化学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生物教育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生物统计学、细胞生物学、生物学基本实验技术、组织胚胎学、生态学概论、进化生物学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艺术设计(环境设计）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视觉传达设计方向</w:t>
            </w:r>
          </w:p>
        </w:tc>
        <w:tc>
          <w:tcPr>
            <w:tcW w:w="57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艺术设计基础、 现代设计史、电脑动画设计（实践）、编排设计、系列书籍装帧设计、网页设计（实践）、CI(VI)设计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艺术设计（环境设计）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室内设计方向</w:t>
            </w:r>
          </w:p>
        </w:tc>
        <w:tc>
          <w:tcPr>
            <w:tcW w:w="577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艺术设计基础、 现代设计史、电脑动画设计（实践）、编排设计、室内陈设艺术设计、室内空间环境设计原理、公共景观艺术设计（实践）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2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工业设计（产品设计）</w:t>
            </w:r>
          </w:p>
        </w:tc>
        <w:tc>
          <w:tcPr>
            <w:tcW w:w="7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产品设计研究、产品设计研究(实践)、产品系统化设计、产品系统化设计（实践）、工业设计史、互动媒体设计、互动媒体设计（实践）、设计管理、计算机辅助设计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4E697D"/>
    <w:rsid w:val="32B22155"/>
    <w:rsid w:val="3466351C"/>
    <w:rsid w:val="394E697D"/>
    <w:rsid w:val="46DB156D"/>
    <w:rsid w:val="4D744789"/>
    <w:rsid w:val="567C56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2020-05-14T02:35:00Z</dcterms:created>
  <dc:creator>Administrator</dc:creator>
  <cp:lastModifiedBy>pc</cp:lastModifiedBy>
  <dcterms:modified xsi:type="dcterms:W3CDTF">2022-03-23T07:48:00Z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