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ind w:left="0" w:right="0"/>
        <w:rPr>
          <w:rFonts w:hint="eastAsia" w:ascii="宋体" w:hAnsi="宋体" w:eastAsia="宋体" w:cs="宋体"/>
          <w:b/>
          <w:bCs/>
          <w:sz w:val="21"/>
          <w:szCs w:val="21"/>
          <w:lang w:eastAsia="zh-Hans" w:bidi="ar-SA"/>
        </w:rPr>
      </w:pPr>
      <w:r>
        <w:rPr>
          <w:rFonts w:hint="eastAsia" w:ascii="宋体" w:hAnsi="宋体" w:eastAsia="宋体" w:cs="宋体"/>
          <w:b/>
          <w:bCs/>
          <w:sz w:val="21"/>
          <w:szCs w:val="21"/>
          <w:lang w:eastAsia="zh-Hans" w:bidi="ar-SA"/>
        </w:rPr>
        <w:t>附件</w:t>
      </w:r>
      <w:r>
        <w:rPr>
          <w:rFonts w:hint="eastAsia" w:ascii="宋体" w:hAnsi="宋体" w:eastAsia="宋体" w:cs="宋体"/>
          <w:b/>
          <w:bCs/>
          <w:sz w:val="21"/>
          <w:szCs w:val="21"/>
          <w:lang w:eastAsia="zh-Hans" w:bidi="ar-SA"/>
        </w:rPr>
        <w:t>1</w:t>
      </w:r>
      <w:r>
        <w:rPr>
          <w:rFonts w:hint="eastAsia" w:ascii="宋体" w:hAnsi="宋体" w:eastAsia="宋体" w:cs="宋体"/>
          <w:b/>
          <w:bCs/>
          <w:sz w:val="21"/>
          <w:szCs w:val="21"/>
          <w:lang w:eastAsia="zh-CN" w:bidi="ar-SA"/>
        </w:rPr>
        <w:t>：</w:t>
      </w:r>
      <w:r>
        <w:rPr>
          <w:rFonts w:hint="eastAsia" w:ascii="宋体" w:hAnsi="宋体" w:eastAsia="宋体" w:cs="宋体"/>
          <w:b/>
          <w:bCs/>
          <w:sz w:val="21"/>
          <w:szCs w:val="21"/>
          <w:lang w:eastAsia="zh-Hans" w:bidi="ar-SA"/>
        </w:rPr>
        <w:t>2022</w:t>
      </w:r>
      <w:r>
        <w:rPr>
          <w:rFonts w:hint="eastAsia" w:ascii="宋体" w:hAnsi="宋体" w:eastAsia="宋体" w:cs="宋体"/>
          <w:b/>
          <w:bCs/>
          <w:sz w:val="21"/>
          <w:szCs w:val="21"/>
          <w:lang w:eastAsia="zh-Hans" w:bidi="ar-SA"/>
        </w:rPr>
        <w:t>上半年成人（自考）实践性环节考核注意事项</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1</w:t>
      </w:r>
      <w:r>
        <w:rPr>
          <w:rFonts w:hint="default" w:ascii="宋体" w:hAnsi="宋体" w:eastAsia="宋体" w:cs="宋体"/>
          <w:sz w:val="21"/>
          <w:szCs w:val="21"/>
          <w:lang w:eastAsia="zh-Hans" w:bidi="ar-SA"/>
        </w:rPr>
        <w:t>、参加实践性环节考核的同学需按指导老师的要求，做规定的时间内完成实践报告（见附件1）。</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2、指导老师确定后，要求学生一周内主动联系各专业指导老师，指导老师根据大纲的要求布置实践报告、实习报告、小论文等，如未联系老师未完成实践环节课程考核的，将不记成绩。</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3、学员根据指导老师的要求完成实践性环节考核，格式要求见附件2　</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4、第10周周日（2022.5.1 ）之前所有同学必需将自己实践报告上交给指导老师审阅 </w:t>
      </w:r>
      <w:r>
        <w:rPr>
          <w:rFonts w:hint="default" w:ascii="宋体" w:hAnsi="宋体" w:eastAsia="宋体" w:cs="宋体"/>
          <w:sz w:val="21"/>
          <w:szCs w:val="21"/>
          <w:lang w:eastAsia="zh-Hans" w:bidi="ar-SA"/>
        </w:rPr>
        <w:t>。</w:t>
      </w:r>
      <w:r>
        <w:rPr>
          <w:rFonts w:hint="default" w:ascii="宋体" w:hAnsi="宋体" w:eastAsia="宋体" w:cs="宋体"/>
          <w:sz w:val="21"/>
          <w:szCs w:val="21"/>
          <w:lang w:eastAsia="zh-Hans" w:bidi="ar-SA"/>
        </w:rPr>
        <w:t>审阅不合格的同学，应务必在一周内修改完毕并重新送交指导老师审阅，否则将不记载实践性环节考核的成绩。</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5、完成实践性环节考核的同学需实践报告（</w:t>
      </w:r>
      <w:r>
        <w:rPr>
          <w:rFonts w:hint="default" w:ascii="宋体" w:hAnsi="宋体" w:eastAsia="宋体" w:cs="宋体"/>
          <w:sz w:val="21"/>
          <w:szCs w:val="21"/>
          <w:lang w:eastAsia="zh-Hans" w:bidi="ar-SA"/>
        </w:rPr>
        <w:t>手抄稿</w:t>
      </w:r>
      <w:r>
        <w:rPr>
          <w:rFonts w:hint="default" w:ascii="宋体" w:hAnsi="宋体" w:eastAsia="宋体" w:cs="宋体"/>
          <w:sz w:val="21"/>
          <w:szCs w:val="21"/>
          <w:lang w:eastAsia="zh-Hans" w:bidi="ar-SA"/>
        </w:rPr>
        <w:t>）等装订成册，寄回给指导老师批改，如若有学生未寄回，认定该同学未完成实践性环节考核。学习形式为函授学生不需要手抄稿。</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6、在实践环节考核过程中请随时关注继续教育学院网上有关实践性环节考核的通知，如有疑问应尽快询问指导老师或继续教育学院教学服务办公室，继续教育学院教学服务办公室 ： 0791-88223515，0791-88221961</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附件</w:t>
      </w:r>
      <w:r>
        <w:rPr>
          <w:rFonts w:hint="eastAsia" w:ascii="宋体" w:hAnsi="宋体" w:eastAsia="宋体" w:cs="宋体"/>
          <w:sz w:val="21"/>
          <w:szCs w:val="21"/>
          <w:lang w:eastAsia="zh-Hans" w:bidi="ar-SA"/>
        </w:rPr>
        <w:t>2</w:t>
      </w:r>
      <w:r>
        <w:rPr>
          <w:rFonts w:hint="eastAsia" w:ascii="宋体" w:hAnsi="宋体" w:eastAsia="宋体" w:cs="宋体"/>
          <w:sz w:val="21"/>
          <w:szCs w:val="21"/>
          <w:lang w:eastAsia="zh-Hans" w:bidi="ar-SA"/>
        </w:rPr>
        <w:t>：</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2022</w:t>
      </w:r>
      <w:r>
        <w:rPr>
          <w:rFonts w:hint="eastAsia" w:ascii="宋体" w:hAnsi="宋体" w:eastAsia="宋体" w:cs="宋体"/>
          <w:sz w:val="21"/>
          <w:szCs w:val="21"/>
          <w:lang w:eastAsia="zh-Hans" w:bidi="ar-SA"/>
        </w:rPr>
        <w:t>上半年实践性环节考核时间安排</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65"/>
        <w:gridCol w:w="2344"/>
        <w:gridCol w:w="1055"/>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31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时间</w:t>
            </w:r>
          </w:p>
        </w:tc>
        <w:tc>
          <w:tcPr>
            <w:tcW w:w="34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工作内容</w:t>
            </w:r>
          </w:p>
        </w:tc>
        <w:tc>
          <w:tcPr>
            <w:tcW w:w="14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主办人</w:t>
            </w:r>
          </w:p>
        </w:tc>
        <w:tc>
          <w:tcPr>
            <w:tcW w:w="40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参加人员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1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5-10周（共4周）</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（3月21日-5月1日）</w:t>
            </w:r>
          </w:p>
        </w:tc>
        <w:tc>
          <w:tcPr>
            <w:tcW w:w="342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实践性环节考核</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指导老师、毕业班学生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31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10周周日前</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（5月1日之前）</w:t>
            </w:r>
          </w:p>
        </w:tc>
        <w:tc>
          <w:tcPr>
            <w:tcW w:w="342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学生提交实习报告等</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指导老师、学生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31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11周</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（5月8日之前）</w:t>
            </w:r>
          </w:p>
        </w:tc>
        <w:tc>
          <w:tcPr>
            <w:tcW w:w="342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各指导老师将成绩及将被交教学办</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教学办、指导老师、学生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1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12周</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（5月12日之前）</w:t>
            </w:r>
          </w:p>
        </w:tc>
        <w:tc>
          <w:tcPr>
            <w:tcW w:w="342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教学办提交成绩交学历办</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教学办</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w:t>
            </w:r>
          </w:p>
        </w:tc>
        <w:tc>
          <w:tcPr>
            <w:tcW w:w="4095" w:type="dxa"/>
            <w:tcBorders>
              <w:top w:val="nil"/>
              <w:left w:val="nil"/>
              <w:bottom w:val="single" w:color="auto" w:sz="6" w:space="0"/>
              <w:right w:val="single" w:color="auto" w:sz="6" w:space="0"/>
            </w:tcBorders>
            <w:shd w:val="clear"/>
            <w:tcMar>
              <w:left w:w="105" w:type="dxa"/>
              <w:right w:w="105" w:type="dxa"/>
            </w:tcMar>
            <w:vAlign w:val="center"/>
          </w:tcPr>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default" w:ascii="宋体" w:hAnsi="宋体" w:eastAsia="宋体" w:cs="宋体"/>
                <w:sz w:val="21"/>
                <w:szCs w:val="21"/>
                <w:lang w:eastAsia="zh-Hans" w:bidi="ar-SA"/>
              </w:rPr>
              <w:t>非学历办、教学办</w:t>
            </w:r>
          </w:p>
        </w:tc>
      </w:tr>
    </w:tbl>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t> </w:t>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drawing>
          <wp:inline distT="0" distB="0" distL="114300" distR="114300">
            <wp:extent cx="5362575" cy="5224780"/>
            <wp:effectExtent l="0" t="0" r="9525" b="1397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362575" cy="5224780"/>
                    </a:xfrm>
                    <a:prstGeom prst="rect">
                      <a:avLst/>
                    </a:prstGeom>
                    <a:noFill/>
                    <a:ln w="9525">
                      <a:noFill/>
                    </a:ln>
                  </pic:spPr>
                </pic:pic>
              </a:graphicData>
            </a:graphic>
          </wp:inline>
        </w:drawing>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drawing>
          <wp:inline distT="0" distB="0" distL="114300" distR="114300">
            <wp:extent cx="5255895" cy="5297170"/>
            <wp:effectExtent l="0" t="0" r="1905"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55895" cy="5297170"/>
                    </a:xfrm>
                    <a:prstGeom prst="rect">
                      <a:avLst/>
                    </a:prstGeom>
                    <a:noFill/>
                    <a:ln w="9525">
                      <a:noFill/>
                    </a:ln>
                  </pic:spPr>
                </pic:pic>
              </a:graphicData>
            </a:graphic>
          </wp:inline>
        </w:drawing>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r>
        <w:rPr>
          <w:rFonts w:hint="eastAsia" w:ascii="宋体" w:hAnsi="宋体" w:eastAsia="宋体" w:cs="宋体"/>
          <w:sz w:val="21"/>
          <w:szCs w:val="21"/>
          <w:lang w:eastAsia="zh-Hans" w:bidi="ar-SA"/>
        </w:rPr>
        <w:drawing>
          <wp:inline distT="0" distB="0" distL="114300" distR="114300">
            <wp:extent cx="5215890" cy="5444490"/>
            <wp:effectExtent l="0" t="0" r="3810" b="38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15890" cy="5444490"/>
                    </a:xfrm>
                    <a:prstGeom prst="rect">
                      <a:avLst/>
                    </a:prstGeom>
                    <a:noFill/>
                    <a:ln w="9525">
                      <a:noFill/>
                    </a:ln>
                  </pic:spPr>
                </pic:pic>
              </a:graphicData>
            </a:graphic>
          </wp:inline>
        </w:drawing>
      </w:r>
    </w:p>
    <w:p>
      <w:pPr>
        <w:pStyle w:val="2"/>
        <w:widowControl/>
        <w:spacing w:before="0" w:beforeAutospacing="0" w:after="0" w:afterAutospacing="0" w:line="360" w:lineRule="auto"/>
        <w:ind w:left="0" w:right="0"/>
        <w:rPr>
          <w:rFonts w:hint="eastAsia" w:ascii="宋体" w:hAnsi="宋体" w:eastAsia="宋体" w:cs="宋体"/>
          <w:sz w:val="21"/>
          <w:szCs w:val="21"/>
          <w:lang w:eastAsia="zh-Hans" w:bidi="ar-SA"/>
        </w:rPr>
      </w:pPr>
      <w:bookmarkStart w:id="0" w:name="_GoBack"/>
      <w:r>
        <w:rPr>
          <w:rFonts w:hint="eastAsia" w:ascii="宋体" w:hAnsi="宋体" w:eastAsia="宋体" w:cs="宋体"/>
          <w:sz w:val="21"/>
          <w:szCs w:val="21"/>
          <w:lang w:eastAsia="zh-Hans" w:bidi="ar-SA"/>
        </w:rPr>
        <w:drawing>
          <wp:inline distT="0" distB="0" distL="114300" distR="114300">
            <wp:extent cx="5260975" cy="5267960"/>
            <wp:effectExtent l="0" t="0" r="15875" b="889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260975" cy="526796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7AF8"/>
    <w:rsid w:val="0992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5058</Words>
  <Characters>5317</Characters>
  <Lines>0</Lines>
  <Paragraphs>0</Paragraphs>
  <TotalTime>1</TotalTime>
  <ScaleCrop>false</ScaleCrop>
  <LinksUpToDate>false</LinksUpToDate>
  <CharactersWithSpaces>5709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2022-03-30T03:00:00Z</dcterms:created>
  <dc:creator>Administrator</dc:creator>
  <cp:lastModifiedBy>四川自考网</cp:lastModifiedBy>
  <dcterms:modified xsi:type="dcterms:W3CDTF">2022-03-30T03:04:34Z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00946CFD2EC547CF9DDDB6FF7A203CDB</vt:lpwstr>
  </property>
</Properties>
</file>