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spacing w:before="0" w:beforeAutospacing="0" w:after="0" w:afterAutospacing="0" w:line="360" w:lineRule="auto"/>
        <w:ind w:left="0" w:right="0"/>
        <w:jc w:val="center"/>
        <w:rPr>
          <w:rFonts w:hint="eastAsia" w:ascii="宋体" w:hAnsi="宋体" w:cs="宋体"/>
          <w:b/>
          <w:bCs/>
          <w:sz w:val="21"/>
          <w:szCs w:val="21"/>
          <w:lang w:eastAsia="zh-Hans" w:bidi="ar-SA"/>
        </w:rPr>
      </w:pPr>
      <w:r>
        <w:rPr>
          <w:rFonts w:hint="eastAsia" w:ascii="宋体" w:hAnsi="宋体" w:cs="宋体"/>
          <w:b/>
          <w:bCs/>
          <w:sz w:val="21"/>
          <w:szCs w:val="21"/>
          <w:lang w:eastAsia="zh-Hans" w:bidi="ar-SA"/>
        </w:rPr>
        <w:t>第一章</w:t>
      </w:r>
      <w:r>
        <w:rPr>
          <w:rFonts w:hint="eastAsia" w:ascii="宋体" w:hAnsi="宋体" w:cs="宋体"/>
          <w:b/>
          <w:bCs/>
          <w:sz w:val="21"/>
          <w:szCs w:val="21"/>
          <w:lang w:eastAsia="zh-Hans" w:bidi="ar-SA"/>
        </w:rPr>
        <w:t> </w:t>
      </w:r>
      <w:r>
        <w:rPr>
          <w:rFonts w:hint="eastAsia" w:ascii="宋体" w:hAnsi="宋体" w:cs="宋体"/>
          <w:b/>
          <w:bCs/>
          <w:sz w:val="21"/>
          <w:szCs w:val="21"/>
          <w:lang w:eastAsia="zh-Hans" w:bidi="ar-SA"/>
        </w:rPr>
        <w:t>总则</w:t>
      </w:r>
    </w:p>
    <w:p>
      <w:pPr>
        <w:pStyle w:val="5"/>
        <w:widowControl/>
        <w:spacing w:before="0" w:beforeAutospacing="0" w:after="0" w:afterAutospacing="0" w:line="360" w:lineRule="auto"/>
        <w:ind w:left="0" w:right="0"/>
        <w:rPr>
          <w:rFonts w:hint="eastAsia" w:ascii="宋体" w:hAnsi="宋体" w:cs="宋体"/>
          <w:sz w:val="21"/>
          <w:szCs w:val="21"/>
          <w:lang w:eastAsia="zh-Hans" w:bidi="ar-SA"/>
        </w:rPr>
      </w:pPr>
      <w:r>
        <w:rPr>
          <w:rFonts w:hint="eastAsia" w:ascii="宋体" w:hAnsi="宋体" w:cs="宋体"/>
          <w:sz w:val="21"/>
          <w:szCs w:val="21"/>
          <w:lang w:eastAsia="zh-Hans" w:bidi="ar-SA"/>
        </w:rPr>
        <w:t>第一条</w:t>
      </w:r>
      <w:r>
        <w:rPr>
          <w:rFonts w:hint="eastAsia" w:ascii="宋体" w:hAnsi="宋体" w:cs="宋体"/>
          <w:sz w:val="21"/>
          <w:szCs w:val="21"/>
          <w:lang w:eastAsia="zh-Hans" w:bidi="ar-SA"/>
        </w:rPr>
        <w:t> </w:t>
      </w:r>
      <w:r>
        <w:rPr>
          <w:rFonts w:hint="eastAsia" w:ascii="宋体" w:hAnsi="宋体" w:cs="宋体"/>
          <w:sz w:val="21"/>
          <w:szCs w:val="21"/>
          <w:lang w:eastAsia="zh-Hans" w:bidi="ar-SA"/>
        </w:rPr>
        <w:t>为贯彻国务院学位委员会《关于授予成人高等教育本科毕业生学士学位暂行规定》（以下简称《暂行规定》），切实保证东北电力大学授予成人高等教育本科毕业生（以下简称成人本科生）学士学位的质量，根据《中华人民共和国学位条例》和《中华人民共和国学位条例暂行实施办法》等有关文件精神，结合我校实际情况，特制定本实施细则。</w:t>
      </w:r>
    </w:p>
    <w:p>
      <w:pPr>
        <w:pStyle w:val="5"/>
        <w:widowControl/>
        <w:spacing w:before="0" w:beforeAutospacing="0" w:after="0" w:afterAutospacing="0" w:line="360" w:lineRule="auto"/>
        <w:ind w:left="0" w:right="0"/>
        <w:rPr>
          <w:rFonts w:hint="eastAsia" w:ascii="宋体" w:hAnsi="宋体" w:cs="宋体"/>
          <w:sz w:val="21"/>
          <w:szCs w:val="21"/>
          <w:lang w:eastAsia="zh-Hans" w:bidi="ar-SA"/>
        </w:rPr>
      </w:pPr>
      <w:r>
        <w:rPr>
          <w:rFonts w:hint="eastAsia" w:ascii="宋体" w:hAnsi="宋体" w:cs="宋体"/>
          <w:sz w:val="21"/>
          <w:szCs w:val="21"/>
          <w:lang w:eastAsia="zh-Hans" w:bidi="ar-SA"/>
        </w:rPr>
        <w:t>第二条</w:t>
      </w:r>
      <w:r>
        <w:rPr>
          <w:rFonts w:hint="eastAsia" w:ascii="宋体" w:hAnsi="宋体" w:cs="宋体"/>
          <w:sz w:val="21"/>
          <w:szCs w:val="21"/>
          <w:lang w:eastAsia="zh-Hans" w:bidi="ar-SA"/>
        </w:rPr>
        <w:t> </w:t>
      </w:r>
      <w:r>
        <w:rPr>
          <w:rFonts w:hint="eastAsia" w:ascii="宋体" w:hAnsi="宋体" w:cs="宋体"/>
          <w:sz w:val="21"/>
          <w:szCs w:val="21"/>
          <w:lang w:eastAsia="zh-Hans" w:bidi="ar-SA"/>
        </w:rPr>
        <w:t>成人本科毕业生是指由国家认可并经国家教育部（原国家教育委员会）批准，以成人高等学历教育（包括函授、自学考试、网络教育等）这类学习形式毕业的学生。</w:t>
      </w:r>
    </w:p>
    <w:p>
      <w:pPr>
        <w:pStyle w:val="5"/>
        <w:widowControl/>
        <w:spacing w:before="0" w:beforeAutospacing="0" w:after="0" w:afterAutospacing="0" w:line="360" w:lineRule="auto"/>
        <w:ind w:left="0" w:right="0"/>
        <w:rPr>
          <w:rFonts w:hint="eastAsia" w:ascii="宋体" w:hAnsi="宋体" w:cs="宋体"/>
          <w:sz w:val="21"/>
          <w:szCs w:val="21"/>
          <w:lang w:eastAsia="zh-Hans" w:bidi="ar-SA"/>
        </w:rPr>
      </w:pPr>
      <w:r>
        <w:rPr>
          <w:rFonts w:hint="eastAsia" w:ascii="宋体" w:hAnsi="宋体" w:cs="宋体"/>
          <w:sz w:val="21"/>
          <w:szCs w:val="21"/>
          <w:lang w:eastAsia="zh-Hans" w:bidi="ar-SA"/>
        </w:rPr>
        <w:t>第三条</w:t>
      </w:r>
      <w:r>
        <w:rPr>
          <w:rFonts w:hint="eastAsia" w:ascii="宋体" w:hAnsi="宋体" w:cs="宋体"/>
          <w:sz w:val="21"/>
          <w:szCs w:val="21"/>
          <w:lang w:eastAsia="zh-Hans" w:bidi="ar-SA"/>
        </w:rPr>
        <w:t> </w:t>
      </w:r>
      <w:r>
        <w:rPr>
          <w:rFonts w:hint="eastAsia" w:ascii="宋体" w:hAnsi="宋体" w:cs="宋体"/>
          <w:sz w:val="21"/>
          <w:szCs w:val="21"/>
          <w:lang w:eastAsia="zh-Hans" w:bidi="ar-SA"/>
        </w:rPr>
        <w:t>我校函授和自学考试（包括二学历教育自学考试）本科毕业生，符合本细则所规定的条件，均可向学校学位评审委员会申请授予学士学位。</w:t>
      </w:r>
    </w:p>
    <w:p>
      <w:pPr>
        <w:pStyle w:val="5"/>
        <w:widowControl/>
        <w:spacing w:before="0" w:beforeAutospacing="0" w:after="0" w:afterAutospacing="0" w:line="360" w:lineRule="auto"/>
        <w:ind w:left="0" w:right="0"/>
        <w:jc w:val="center"/>
        <w:rPr>
          <w:rFonts w:hint="eastAsia" w:ascii="宋体" w:hAnsi="宋体" w:cs="宋体"/>
          <w:b/>
          <w:bCs/>
          <w:sz w:val="21"/>
          <w:szCs w:val="21"/>
          <w:lang w:eastAsia="zh-Hans" w:bidi="ar-SA"/>
        </w:rPr>
      </w:pPr>
      <w:r>
        <w:rPr>
          <w:rFonts w:hint="eastAsia" w:ascii="宋体" w:hAnsi="宋体" w:cs="宋体"/>
          <w:b/>
          <w:bCs/>
          <w:sz w:val="21"/>
          <w:szCs w:val="21"/>
          <w:lang w:eastAsia="zh-Hans" w:bidi="ar-SA"/>
        </w:rPr>
        <w:t>第二章 学位授予条件</w:t>
      </w:r>
    </w:p>
    <w:p>
      <w:pPr>
        <w:pStyle w:val="5"/>
        <w:widowControl/>
        <w:spacing w:before="0" w:beforeAutospacing="0" w:after="0" w:afterAutospacing="0" w:line="360" w:lineRule="auto"/>
        <w:ind w:left="0" w:right="0"/>
        <w:rPr>
          <w:rFonts w:hint="eastAsia" w:ascii="宋体" w:hAnsi="宋体" w:cs="宋体"/>
          <w:sz w:val="21"/>
          <w:szCs w:val="21"/>
          <w:lang w:eastAsia="zh-Hans" w:bidi="ar-SA"/>
        </w:rPr>
      </w:pPr>
      <w:r>
        <w:rPr>
          <w:rFonts w:hint="eastAsia" w:ascii="宋体" w:hAnsi="宋体" w:cs="宋体"/>
          <w:sz w:val="21"/>
          <w:szCs w:val="21"/>
          <w:lang w:eastAsia="zh-Hans" w:bidi="ar-SA"/>
        </w:rPr>
        <w:t>第四条</w:t>
      </w:r>
      <w:r>
        <w:rPr>
          <w:rFonts w:hint="eastAsia" w:ascii="宋体" w:hAnsi="宋体" w:cs="宋体"/>
          <w:sz w:val="21"/>
          <w:szCs w:val="21"/>
          <w:lang w:eastAsia="zh-Hans" w:bidi="ar-SA"/>
        </w:rPr>
        <w:t> </w:t>
      </w:r>
      <w:r>
        <w:rPr>
          <w:rFonts w:hint="eastAsia" w:ascii="宋体" w:hAnsi="宋体" w:cs="宋体"/>
          <w:sz w:val="21"/>
          <w:szCs w:val="21"/>
          <w:lang w:eastAsia="zh-Hans" w:bidi="ar-SA"/>
        </w:rPr>
        <w:t>成人本科毕业生符合《中华人民共和国学位条例》规定，并具备下列条件者，可授予学士学位：</w:t>
      </w:r>
    </w:p>
    <w:p>
      <w:pPr>
        <w:pStyle w:val="5"/>
        <w:widowControl/>
        <w:spacing w:before="0" w:beforeAutospacing="0" w:after="0" w:afterAutospacing="0" w:line="360" w:lineRule="auto"/>
        <w:ind w:left="0" w:right="0"/>
        <w:rPr>
          <w:rFonts w:hint="eastAsia" w:ascii="宋体" w:hAnsi="宋体" w:cs="宋体"/>
          <w:sz w:val="21"/>
          <w:szCs w:val="21"/>
          <w:lang w:eastAsia="zh-Hans" w:bidi="ar-SA"/>
        </w:rPr>
      </w:pPr>
      <w:r>
        <w:rPr>
          <w:rFonts w:hint="eastAsia" w:ascii="宋体" w:hAnsi="宋体" w:cs="宋体"/>
          <w:sz w:val="21"/>
          <w:szCs w:val="21"/>
          <w:lang w:eastAsia="zh-Hans" w:bidi="ar-SA"/>
        </w:rPr>
        <w:t>（一）拥护中国共产党的领导，遵守国家法律，品行端正；</w:t>
      </w:r>
    </w:p>
    <w:p>
      <w:pPr>
        <w:pStyle w:val="5"/>
        <w:widowControl/>
        <w:spacing w:before="0" w:beforeAutospacing="0" w:after="0" w:afterAutospacing="0" w:line="360" w:lineRule="auto"/>
        <w:ind w:left="0" w:right="0"/>
        <w:rPr>
          <w:rFonts w:hint="eastAsia" w:ascii="宋体" w:hAnsi="宋体" w:cs="宋体"/>
          <w:sz w:val="21"/>
          <w:szCs w:val="21"/>
          <w:lang w:eastAsia="zh-Hans" w:bidi="ar-SA"/>
        </w:rPr>
      </w:pPr>
      <w:r>
        <w:rPr>
          <w:rFonts w:hint="eastAsia" w:ascii="宋体" w:hAnsi="宋体" w:cs="宋体"/>
          <w:sz w:val="21"/>
          <w:szCs w:val="21"/>
          <w:lang w:eastAsia="zh-Hans" w:bidi="ar-SA"/>
        </w:rPr>
        <w:t>（二）外语水平达到如下标准之一：</w:t>
      </w:r>
    </w:p>
    <w:p>
      <w:pPr>
        <w:pStyle w:val="5"/>
        <w:widowControl/>
        <w:spacing w:before="0" w:beforeAutospacing="0" w:after="0" w:afterAutospacing="0" w:line="360" w:lineRule="auto"/>
        <w:ind w:left="0" w:right="0"/>
        <w:rPr>
          <w:rFonts w:hint="eastAsia" w:ascii="宋体" w:hAnsi="宋体" w:cs="宋体"/>
          <w:sz w:val="21"/>
          <w:szCs w:val="21"/>
          <w:lang w:eastAsia="zh-Hans" w:bidi="ar-SA"/>
        </w:rPr>
      </w:pPr>
      <w:r>
        <w:rPr>
          <w:rFonts w:hint="eastAsia" w:ascii="宋体" w:hAnsi="宋体" w:cs="宋体"/>
          <w:sz w:val="21"/>
          <w:szCs w:val="21"/>
          <w:lang w:val="en-US" w:eastAsia="zh-Hans" w:bidi="ar-SA"/>
        </w:rPr>
        <w:t>1</w:t>
      </w:r>
      <w:r>
        <w:rPr>
          <w:rFonts w:hint="eastAsia" w:ascii="宋体" w:hAnsi="宋体" w:cs="宋体"/>
          <w:sz w:val="21"/>
          <w:szCs w:val="21"/>
          <w:lang w:eastAsia="zh-Hans" w:bidi="ar-SA"/>
        </w:rPr>
        <w:t>．参加我校组织的高等学历继续教育学士学位外语水平考试或我校加入的高校联盟所组织的高等学历继续教育学士学位外语水平考试，成绩合格；</w:t>
      </w:r>
    </w:p>
    <w:p>
      <w:pPr>
        <w:pStyle w:val="5"/>
        <w:widowControl/>
        <w:spacing w:before="0" w:beforeAutospacing="0" w:after="0" w:afterAutospacing="0" w:line="360" w:lineRule="auto"/>
        <w:ind w:left="0" w:right="0"/>
        <w:rPr>
          <w:rFonts w:hint="eastAsia" w:ascii="宋体" w:hAnsi="宋体" w:cs="宋体"/>
          <w:sz w:val="21"/>
          <w:szCs w:val="21"/>
          <w:lang w:eastAsia="zh-Hans" w:bidi="ar-SA"/>
        </w:rPr>
      </w:pPr>
      <w:r>
        <w:rPr>
          <w:rFonts w:hint="eastAsia" w:ascii="宋体" w:hAnsi="宋体" w:cs="宋体"/>
          <w:sz w:val="21"/>
          <w:szCs w:val="21"/>
          <w:lang w:val="en-US" w:eastAsia="zh-Hans" w:bidi="ar-SA"/>
        </w:rPr>
        <w:t>2</w:t>
      </w:r>
      <w:r>
        <w:rPr>
          <w:rFonts w:hint="eastAsia" w:ascii="宋体" w:hAnsi="宋体" w:cs="宋体"/>
          <w:sz w:val="21"/>
          <w:szCs w:val="21"/>
          <w:lang w:eastAsia="zh-Hans" w:bidi="ar-SA"/>
        </w:rPr>
        <w:t>．参加全国大学外语四级及以上考试，笔试成绩达</w:t>
      </w:r>
      <w:r>
        <w:rPr>
          <w:rFonts w:hint="eastAsia" w:ascii="宋体" w:hAnsi="宋体" w:cs="宋体"/>
          <w:sz w:val="21"/>
          <w:szCs w:val="21"/>
          <w:lang w:val="en-US" w:eastAsia="zh-Hans" w:bidi="ar-SA"/>
        </w:rPr>
        <w:t>280</w:t>
      </w:r>
      <w:r>
        <w:rPr>
          <w:rFonts w:hint="eastAsia" w:ascii="宋体" w:hAnsi="宋体" w:cs="宋体"/>
          <w:sz w:val="21"/>
          <w:szCs w:val="21"/>
          <w:lang w:eastAsia="zh-Hans" w:bidi="ar-SA"/>
        </w:rPr>
        <w:t>分及以上；</w:t>
      </w:r>
    </w:p>
    <w:p>
      <w:pPr>
        <w:pStyle w:val="5"/>
        <w:widowControl/>
        <w:spacing w:before="0" w:beforeAutospacing="0" w:after="0" w:afterAutospacing="0" w:line="360" w:lineRule="auto"/>
        <w:ind w:left="0" w:right="0"/>
        <w:rPr>
          <w:rFonts w:hint="eastAsia" w:ascii="宋体" w:hAnsi="宋体" w:cs="宋体"/>
          <w:sz w:val="21"/>
          <w:szCs w:val="21"/>
          <w:lang w:eastAsia="zh-Hans" w:bidi="ar-SA"/>
        </w:rPr>
      </w:pPr>
      <w:r>
        <w:rPr>
          <w:rFonts w:hint="eastAsia" w:ascii="宋体" w:hAnsi="宋体" w:cs="宋体"/>
          <w:sz w:val="21"/>
          <w:szCs w:val="21"/>
          <w:lang w:val="en-US" w:eastAsia="zh-Hans" w:bidi="ar-SA"/>
        </w:rPr>
        <w:t>3</w:t>
      </w:r>
      <w:r>
        <w:rPr>
          <w:rFonts w:hint="eastAsia" w:ascii="宋体" w:hAnsi="宋体" w:cs="宋体"/>
          <w:sz w:val="21"/>
          <w:szCs w:val="21"/>
          <w:lang w:eastAsia="zh-Hans" w:bidi="ar-SA"/>
        </w:rPr>
        <w:t>．参加全国公共英语等级考试三级（简称</w:t>
      </w:r>
      <w:r>
        <w:rPr>
          <w:rFonts w:hint="eastAsia" w:ascii="宋体" w:hAnsi="宋体" w:cs="宋体"/>
          <w:sz w:val="21"/>
          <w:szCs w:val="21"/>
          <w:lang w:val="en-US" w:eastAsia="zh-Hans" w:bidi="ar-SA"/>
        </w:rPr>
        <w:t>PETS3</w:t>
      </w:r>
      <w:r>
        <w:rPr>
          <w:rFonts w:hint="eastAsia" w:ascii="宋体" w:hAnsi="宋体" w:cs="宋体"/>
          <w:sz w:val="21"/>
          <w:szCs w:val="21"/>
          <w:lang w:eastAsia="zh-Hans" w:bidi="ar-SA"/>
        </w:rPr>
        <w:t>），笔试成绩合格；</w:t>
      </w:r>
    </w:p>
    <w:p>
      <w:pPr>
        <w:pStyle w:val="5"/>
        <w:widowControl/>
        <w:spacing w:before="0" w:beforeAutospacing="0" w:after="0" w:afterAutospacing="0" w:line="360" w:lineRule="auto"/>
        <w:ind w:left="0" w:right="0"/>
        <w:rPr>
          <w:rFonts w:hint="eastAsia" w:ascii="宋体" w:hAnsi="宋体" w:cs="宋体"/>
          <w:sz w:val="21"/>
          <w:szCs w:val="21"/>
          <w:lang w:eastAsia="zh-Hans" w:bidi="ar-SA"/>
        </w:rPr>
      </w:pPr>
      <w:r>
        <w:rPr>
          <w:rFonts w:hint="eastAsia" w:ascii="宋体" w:hAnsi="宋体" w:cs="宋体"/>
          <w:sz w:val="21"/>
          <w:szCs w:val="21"/>
          <w:lang w:eastAsia="zh-Hans" w:bidi="ar-SA"/>
        </w:rPr>
        <w:t>（三）在学成绩</w:t>
      </w:r>
    </w:p>
    <w:p>
      <w:pPr>
        <w:pStyle w:val="5"/>
        <w:widowControl/>
        <w:spacing w:before="0" w:beforeAutospacing="0" w:after="0" w:afterAutospacing="0" w:line="360" w:lineRule="auto"/>
        <w:ind w:left="0" w:right="0"/>
        <w:rPr>
          <w:rFonts w:hint="eastAsia" w:ascii="宋体" w:hAnsi="宋体" w:cs="宋体"/>
          <w:sz w:val="21"/>
          <w:szCs w:val="21"/>
          <w:lang w:eastAsia="zh-Hans" w:bidi="ar-SA"/>
        </w:rPr>
      </w:pPr>
      <w:r>
        <w:rPr>
          <w:rFonts w:hint="eastAsia" w:ascii="宋体" w:hAnsi="宋体" w:cs="宋体"/>
          <w:sz w:val="21"/>
          <w:szCs w:val="21"/>
          <w:lang w:eastAsia="zh-Hans" w:bidi="ar-SA"/>
        </w:rPr>
        <w:t>函授本科毕业生在学期间公共课、基础课和专业课平均成绩达到</w:t>
      </w:r>
      <w:r>
        <w:rPr>
          <w:rFonts w:hint="eastAsia" w:ascii="宋体" w:hAnsi="宋体" w:cs="宋体"/>
          <w:sz w:val="21"/>
          <w:szCs w:val="21"/>
          <w:lang w:val="en-US" w:eastAsia="zh-Hans" w:bidi="ar-SA"/>
        </w:rPr>
        <w:t>70</w:t>
      </w:r>
      <w:r>
        <w:rPr>
          <w:rFonts w:hint="eastAsia" w:ascii="宋体" w:hAnsi="宋体" w:cs="宋体"/>
          <w:sz w:val="21"/>
          <w:szCs w:val="21"/>
          <w:lang w:eastAsia="zh-Hans" w:bidi="ar-SA"/>
        </w:rPr>
        <w:t>分及以上、毕业论文（含毕业设计或其他毕业实践环节，下同）的成绩为良好及以上。</w:t>
      </w:r>
    </w:p>
    <w:p>
      <w:pPr>
        <w:pStyle w:val="5"/>
        <w:widowControl/>
        <w:spacing w:before="0" w:beforeAutospacing="0" w:after="0" w:afterAutospacing="0" w:line="360" w:lineRule="auto"/>
        <w:ind w:left="0" w:right="0"/>
        <w:rPr>
          <w:rFonts w:hint="eastAsia" w:ascii="宋体" w:hAnsi="宋体" w:cs="宋体"/>
          <w:sz w:val="21"/>
          <w:szCs w:val="21"/>
          <w:lang w:eastAsia="zh-Hans" w:bidi="ar-SA"/>
        </w:rPr>
      </w:pPr>
      <w:r>
        <w:rPr>
          <w:rFonts w:hint="eastAsia" w:ascii="宋体" w:hAnsi="宋体" w:cs="宋体"/>
          <w:sz w:val="21"/>
          <w:szCs w:val="21"/>
          <w:lang w:eastAsia="zh-Hans" w:bidi="ar-SA"/>
        </w:rPr>
        <w:t>自学考试（包括二学历教育自学考试）本科毕业生主干课程平均成绩达到</w:t>
      </w:r>
      <w:r>
        <w:rPr>
          <w:rFonts w:hint="eastAsia" w:ascii="宋体" w:hAnsi="宋体" w:cs="宋体"/>
          <w:sz w:val="21"/>
          <w:szCs w:val="21"/>
          <w:lang w:val="en-US" w:eastAsia="zh-Hans" w:bidi="ar-SA"/>
        </w:rPr>
        <w:t>70</w:t>
      </w:r>
      <w:r>
        <w:rPr>
          <w:rFonts w:hint="eastAsia" w:ascii="宋体" w:hAnsi="宋体" w:cs="宋体"/>
          <w:sz w:val="21"/>
          <w:szCs w:val="21"/>
          <w:lang w:eastAsia="zh-Hans" w:bidi="ar-SA"/>
        </w:rPr>
        <w:t>分及以上，毕业论文成绩良好及以上（各专业主干课程见附表）。</w:t>
      </w:r>
    </w:p>
    <w:p>
      <w:pPr>
        <w:pStyle w:val="5"/>
        <w:widowControl/>
        <w:spacing w:before="0" w:beforeAutospacing="0" w:after="0" w:afterAutospacing="0" w:line="360" w:lineRule="auto"/>
        <w:ind w:left="0" w:right="0"/>
        <w:rPr>
          <w:rFonts w:hint="eastAsia" w:ascii="宋体" w:hAnsi="宋体" w:cs="宋体"/>
          <w:sz w:val="21"/>
          <w:szCs w:val="21"/>
          <w:lang w:eastAsia="zh-Hans" w:bidi="ar-SA"/>
        </w:rPr>
      </w:pPr>
      <w:r>
        <w:rPr>
          <w:rFonts w:hint="eastAsia" w:ascii="宋体" w:hAnsi="宋体" w:cs="宋体"/>
          <w:sz w:val="21"/>
          <w:szCs w:val="21"/>
          <w:lang w:eastAsia="zh-Hans" w:bidi="ar-SA"/>
        </w:rPr>
        <w:t>（四）申请时限</w:t>
      </w:r>
    </w:p>
    <w:p>
      <w:pPr>
        <w:pStyle w:val="5"/>
        <w:widowControl/>
        <w:spacing w:before="0" w:beforeAutospacing="0" w:after="0" w:afterAutospacing="0" w:line="360" w:lineRule="auto"/>
        <w:ind w:left="0" w:right="0"/>
        <w:rPr>
          <w:rFonts w:hint="eastAsia" w:ascii="宋体" w:hAnsi="宋体" w:cs="宋体"/>
          <w:sz w:val="21"/>
          <w:szCs w:val="21"/>
          <w:lang w:eastAsia="zh-Hans" w:bidi="ar-SA"/>
        </w:rPr>
      </w:pPr>
      <w:r>
        <w:rPr>
          <w:rFonts w:hint="eastAsia" w:ascii="宋体" w:hAnsi="宋体" w:cs="宋体"/>
          <w:sz w:val="21"/>
          <w:szCs w:val="21"/>
          <w:lang w:eastAsia="zh-Hans" w:bidi="ar-SA"/>
        </w:rPr>
        <w:t>毕业当年及毕业后两年内均可申请，超出时限属自动放弃申请资格。</w:t>
      </w:r>
    </w:p>
    <w:p>
      <w:pPr>
        <w:pStyle w:val="5"/>
        <w:widowControl/>
        <w:spacing w:before="0" w:beforeAutospacing="0" w:after="0" w:afterAutospacing="0" w:line="360" w:lineRule="auto"/>
        <w:ind w:left="0" w:right="0"/>
        <w:rPr>
          <w:rFonts w:hint="eastAsia" w:ascii="宋体" w:hAnsi="宋体" w:cs="宋体"/>
          <w:sz w:val="21"/>
          <w:szCs w:val="21"/>
          <w:lang w:eastAsia="zh-Hans" w:bidi="ar-SA"/>
        </w:rPr>
      </w:pPr>
      <w:r>
        <w:rPr>
          <w:rFonts w:hint="eastAsia" w:ascii="宋体" w:hAnsi="宋体" w:cs="宋体"/>
          <w:sz w:val="21"/>
          <w:szCs w:val="21"/>
          <w:lang w:eastAsia="zh-Hans" w:bidi="ar-SA"/>
        </w:rPr>
        <w:t>第五条</w:t>
      </w:r>
      <w:r>
        <w:rPr>
          <w:rFonts w:hint="eastAsia" w:ascii="宋体" w:hAnsi="宋体" w:cs="宋体"/>
          <w:sz w:val="21"/>
          <w:szCs w:val="21"/>
          <w:lang w:eastAsia="zh-Hans" w:bidi="ar-SA"/>
        </w:rPr>
        <w:t> </w:t>
      </w:r>
      <w:r>
        <w:rPr>
          <w:rFonts w:hint="eastAsia" w:ascii="宋体" w:hAnsi="宋体" w:cs="宋体"/>
          <w:sz w:val="21"/>
          <w:szCs w:val="21"/>
          <w:lang w:eastAsia="zh-Hans" w:bidi="ar-SA"/>
        </w:rPr>
        <w:t>成人本科毕业生有下列情况之一者，不能授予学士学位：</w:t>
      </w:r>
    </w:p>
    <w:p>
      <w:pPr>
        <w:pStyle w:val="5"/>
        <w:widowControl/>
        <w:spacing w:before="0" w:beforeAutospacing="0" w:after="0" w:afterAutospacing="0" w:line="360" w:lineRule="auto"/>
        <w:ind w:left="0" w:right="0"/>
        <w:rPr>
          <w:rFonts w:hint="eastAsia" w:ascii="宋体" w:hAnsi="宋体" w:cs="宋体"/>
          <w:sz w:val="21"/>
          <w:szCs w:val="21"/>
          <w:lang w:eastAsia="zh-Hans" w:bidi="ar-SA"/>
        </w:rPr>
      </w:pPr>
      <w:r>
        <w:rPr>
          <w:rFonts w:hint="eastAsia" w:ascii="宋体" w:hAnsi="宋体" w:cs="宋体"/>
          <w:sz w:val="21"/>
          <w:szCs w:val="21"/>
          <w:lang w:eastAsia="zh-Hans" w:bidi="ar-SA"/>
        </w:rPr>
        <w:t>（一）有违反四项基本原则的言行，或因触犯国家法律受过刑罚者；</w:t>
      </w:r>
    </w:p>
    <w:p>
      <w:pPr>
        <w:pStyle w:val="5"/>
        <w:widowControl/>
        <w:spacing w:before="0" w:beforeAutospacing="0" w:after="0" w:afterAutospacing="0" w:line="360" w:lineRule="auto"/>
        <w:ind w:left="0" w:right="0"/>
        <w:rPr>
          <w:rFonts w:hint="eastAsia" w:ascii="宋体" w:hAnsi="宋体" w:cs="宋体"/>
          <w:sz w:val="21"/>
          <w:szCs w:val="21"/>
          <w:lang w:eastAsia="zh-Hans" w:bidi="ar-SA"/>
        </w:rPr>
      </w:pPr>
      <w:r>
        <w:rPr>
          <w:rFonts w:hint="eastAsia" w:ascii="宋体" w:hAnsi="宋体" w:cs="宋体"/>
          <w:sz w:val="21"/>
          <w:szCs w:val="21"/>
          <w:lang w:eastAsia="zh-Hans" w:bidi="ar-SA"/>
        </w:rPr>
        <w:t>（二）在学期间，受过记过及以上处分者；</w:t>
      </w:r>
    </w:p>
    <w:p>
      <w:pPr>
        <w:pStyle w:val="5"/>
        <w:widowControl/>
        <w:spacing w:before="0" w:beforeAutospacing="0" w:after="0" w:afterAutospacing="0" w:line="360" w:lineRule="auto"/>
        <w:ind w:left="0" w:right="0"/>
        <w:jc w:val="center"/>
        <w:rPr>
          <w:rFonts w:hint="eastAsia" w:ascii="宋体" w:hAnsi="宋体" w:cs="宋体"/>
          <w:b/>
          <w:bCs/>
          <w:sz w:val="21"/>
          <w:szCs w:val="21"/>
          <w:lang w:eastAsia="zh-Hans" w:bidi="ar-SA"/>
        </w:rPr>
      </w:pPr>
      <w:r>
        <w:rPr>
          <w:rFonts w:hint="eastAsia" w:ascii="宋体" w:hAnsi="宋体" w:cs="宋体"/>
          <w:b/>
          <w:bCs/>
          <w:sz w:val="21"/>
          <w:szCs w:val="21"/>
          <w:lang w:eastAsia="zh-Hans" w:bidi="ar-SA"/>
        </w:rPr>
        <w:t>第三章 学士学位授予程序</w:t>
      </w:r>
    </w:p>
    <w:p>
      <w:pPr>
        <w:pStyle w:val="5"/>
        <w:widowControl/>
        <w:spacing w:before="0" w:beforeAutospacing="0" w:after="0" w:afterAutospacing="0" w:line="360" w:lineRule="auto"/>
        <w:ind w:left="0" w:right="0"/>
        <w:rPr>
          <w:rFonts w:hint="eastAsia" w:ascii="宋体" w:hAnsi="宋体" w:cs="宋体"/>
          <w:sz w:val="21"/>
          <w:szCs w:val="21"/>
          <w:lang w:eastAsia="zh-Hans" w:bidi="ar-SA"/>
        </w:rPr>
      </w:pPr>
      <w:r>
        <w:rPr>
          <w:rFonts w:hint="eastAsia" w:ascii="宋体" w:hAnsi="宋体" w:cs="宋体"/>
          <w:sz w:val="21"/>
          <w:szCs w:val="21"/>
          <w:lang w:eastAsia="zh-Hans" w:bidi="ar-SA"/>
        </w:rPr>
        <w:t>第六条</w:t>
      </w:r>
      <w:r>
        <w:rPr>
          <w:rFonts w:hint="eastAsia" w:ascii="宋体" w:hAnsi="宋体" w:cs="宋体"/>
          <w:sz w:val="21"/>
          <w:szCs w:val="21"/>
          <w:lang w:eastAsia="zh-Hans" w:bidi="ar-SA"/>
        </w:rPr>
        <w:t> </w:t>
      </w:r>
      <w:r>
        <w:rPr>
          <w:rFonts w:hint="eastAsia" w:ascii="宋体" w:hAnsi="宋体" w:cs="宋体"/>
          <w:sz w:val="21"/>
          <w:szCs w:val="21"/>
          <w:lang w:eastAsia="zh-Hans" w:bidi="ar-SA"/>
        </w:rPr>
        <w:t>凡符合学士学位授予条件的我校成人本科毕业生，均可向我校学位评定委员会提出申请。</w:t>
      </w:r>
    </w:p>
    <w:p>
      <w:pPr>
        <w:pStyle w:val="5"/>
        <w:widowControl/>
        <w:spacing w:before="0" w:beforeAutospacing="0" w:after="0" w:afterAutospacing="0" w:line="360" w:lineRule="auto"/>
        <w:ind w:left="0" w:right="0"/>
        <w:rPr>
          <w:rFonts w:hint="eastAsia" w:ascii="宋体" w:hAnsi="宋体" w:cs="宋体"/>
          <w:sz w:val="21"/>
          <w:szCs w:val="21"/>
          <w:lang w:eastAsia="zh-Hans" w:bidi="ar-SA"/>
        </w:rPr>
      </w:pPr>
      <w:r>
        <w:rPr>
          <w:rFonts w:hint="eastAsia" w:ascii="宋体" w:hAnsi="宋体" w:cs="宋体"/>
          <w:sz w:val="21"/>
          <w:szCs w:val="21"/>
          <w:lang w:eastAsia="zh-Hans" w:bidi="ar-SA"/>
        </w:rPr>
        <w:t>第七条</w:t>
      </w:r>
      <w:r>
        <w:rPr>
          <w:rFonts w:hint="eastAsia" w:ascii="宋体" w:hAnsi="宋体" w:cs="宋体"/>
          <w:sz w:val="21"/>
          <w:szCs w:val="21"/>
          <w:lang w:eastAsia="zh-Hans" w:bidi="ar-SA"/>
        </w:rPr>
        <w:t> </w:t>
      </w:r>
      <w:r>
        <w:rPr>
          <w:rFonts w:hint="eastAsia" w:ascii="宋体" w:hAnsi="宋体" w:cs="宋体"/>
          <w:sz w:val="21"/>
          <w:szCs w:val="21"/>
          <w:lang w:eastAsia="zh-Hans" w:bidi="ar-SA"/>
        </w:rPr>
        <w:t>授予成人本科毕业生学士学位的程序：</w:t>
      </w:r>
    </w:p>
    <w:p>
      <w:pPr>
        <w:pStyle w:val="5"/>
        <w:widowControl/>
        <w:spacing w:before="0" w:beforeAutospacing="0" w:after="0" w:afterAutospacing="0" w:line="360" w:lineRule="auto"/>
        <w:ind w:left="0" w:right="0"/>
        <w:rPr>
          <w:rFonts w:hint="eastAsia" w:ascii="宋体" w:hAnsi="宋体" w:cs="宋体"/>
          <w:sz w:val="21"/>
          <w:szCs w:val="21"/>
          <w:lang w:eastAsia="zh-Hans" w:bidi="ar-SA"/>
        </w:rPr>
      </w:pPr>
      <w:r>
        <w:rPr>
          <w:rFonts w:hint="eastAsia" w:ascii="宋体" w:hAnsi="宋体" w:cs="宋体"/>
          <w:sz w:val="21"/>
          <w:szCs w:val="21"/>
          <w:lang w:eastAsia="zh-Hans" w:bidi="ar-SA"/>
        </w:rPr>
        <w:t>（一）申请者在符合学位授予条件的前提下，本人适时向我校继续教育学院递交书面申请及各项申请材料；继续教育学院将审核通过者形成拟授名单，上报学校学位评定委员会评审。</w:t>
      </w:r>
    </w:p>
    <w:p>
      <w:pPr>
        <w:pStyle w:val="5"/>
        <w:widowControl/>
        <w:spacing w:before="0" w:beforeAutospacing="0" w:after="0" w:afterAutospacing="0" w:line="360" w:lineRule="auto"/>
        <w:ind w:left="0" w:right="0"/>
        <w:rPr>
          <w:rFonts w:hint="eastAsia" w:ascii="宋体" w:hAnsi="宋体" w:cs="宋体"/>
          <w:sz w:val="21"/>
          <w:szCs w:val="21"/>
          <w:lang w:eastAsia="zh-Hans" w:bidi="ar-SA"/>
        </w:rPr>
      </w:pPr>
      <w:r>
        <w:rPr>
          <w:rFonts w:hint="eastAsia" w:ascii="宋体" w:hAnsi="宋体" w:cs="宋体"/>
          <w:sz w:val="21"/>
          <w:szCs w:val="21"/>
          <w:lang w:eastAsia="zh-Hans" w:bidi="ar-SA"/>
        </w:rPr>
        <w:t>（二）通过我校学位评定委员会评审的成人本科毕业生，我校将向其授予成人学士学位，并颁发学士学位证书。</w:t>
      </w:r>
    </w:p>
    <w:p>
      <w:pPr>
        <w:pStyle w:val="5"/>
        <w:widowControl/>
        <w:spacing w:before="0" w:beforeAutospacing="0" w:after="0" w:afterAutospacing="0" w:line="360" w:lineRule="auto"/>
        <w:ind w:left="0" w:right="0"/>
        <w:rPr>
          <w:rFonts w:hint="eastAsia" w:ascii="宋体" w:hAnsi="宋体" w:cs="宋体"/>
          <w:sz w:val="21"/>
          <w:szCs w:val="21"/>
          <w:lang w:eastAsia="zh-Hans" w:bidi="ar-SA"/>
        </w:rPr>
      </w:pPr>
      <w:r>
        <w:rPr>
          <w:rFonts w:hint="eastAsia" w:ascii="宋体" w:hAnsi="宋体" w:cs="宋体"/>
          <w:sz w:val="21"/>
          <w:szCs w:val="21"/>
          <w:lang w:eastAsia="zh-Hans" w:bidi="ar-SA"/>
        </w:rPr>
        <w:t>第八条</w:t>
      </w:r>
      <w:r>
        <w:rPr>
          <w:rFonts w:hint="eastAsia" w:ascii="宋体" w:hAnsi="宋体" w:cs="宋体"/>
          <w:sz w:val="21"/>
          <w:szCs w:val="21"/>
          <w:lang w:eastAsia="zh-Hans" w:bidi="ar-SA"/>
        </w:rPr>
        <w:t> </w:t>
      </w:r>
      <w:r>
        <w:rPr>
          <w:rFonts w:hint="eastAsia" w:ascii="宋体" w:hAnsi="宋体" w:cs="宋体"/>
          <w:sz w:val="21"/>
          <w:szCs w:val="21"/>
          <w:lang w:eastAsia="zh-Hans" w:bidi="ar-SA"/>
        </w:rPr>
        <w:t>凡毕业当年因条件不符未获得学士学位的成人本科毕业生，如毕业后在我校规定的补授有效时限内，具备了授予条件者，仍可向我校申请补授成人学士学位。</w:t>
      </w:r>
    </w:p>
    <w:p>
      <w:pPr>
        <w:pStyle w:val="5"/>
        <w:widowControl/>
        <w:spacing w:before="0" w:beforeAutospacing="0" w:after="0" w:afterAutospacing="0" w:line="360" w:lineRule="auto"/>
        <w:ind w:left="0" w:right="0"/>
        <w:rPr>
          <w:rFonts w:hint="eastAsia" w:ascii="宋体" w:hAnsi="宋体" w:cs="宋体"/>
          <w:sz w:val="21"/>
          <w:szCs w:val="21"/>
          <w:lang w:eastAsia="zh-Hans" w:bidi="ar-SA"/>
        </w:rPr>
      </w:pPr>
      <w:r>
        <w:rPr>
          <w:rFonts w:hint="eastAsia" w:ascii="宋体" w:hAnsi="宋体" w:cs="宋体"/>
          <w:sz w:val="21"/>
          <w:szCs w:val="21"/>
          <w:lang w:eastAsia="zh-Hans" w:bidi="ar-SA"/>
        </w:rPr>
        <w:t>第九条</w:t>
      </w:r>
      <w:r>
        <w:rPr>
          <w:rFonts w:hint="eastAsia" w:ascii="宋体" w:hAnsi="宋体" w:cs="宋体"/>
          <w:sz w:val="21"/>
          <w:szCs w:val="21"/>
          <w:lang w:eastAsia="zh-Hans" w:bidi="ar-SA"/>
        </w:rPr>
        <w:t> </w:t>
      </w:r>
      <w:r>
        <w:rPr>
          <w:rFonts w:hint="eastAsia" w:ascii="宋体" w:hAnsi="宋体" w:cs="宋体"/>
          <w:sz w:val="21"/>
          <w:szCs w:val="21"/>
          <w:lang w:eastAsia="zh-Hans" w:bidi="ar-SA"/>
        </w:rPr>
        <w:t>本细则自公布之日起正式施行。</w:t>
      </w:r>
    </w:p>
    <w:p>
      <w:pPr>
        <w:pStyle w:val="5"/>
        <w:widowControl/>
        <w:spacing w:before="0" w:beforeAutospacing="0" w:after="0" w:afterAutospacing="0" w:line="360" w:lineRule="auto"/>
        <w:ind w:left="0" w:right="0"/>
        <w:jc w:val="right"/>
        <w:rPr>
          <w:rFonts w:hint="eastAsia" w:ascii="宋体" w:hAnsi="宋体" w:cs="宋体"/>
          <w:sz w:val="21"/>
          <w:szCs w:val="21"/>
          <w:lang w:eastAsia="zh-Hans" w:bidi="ar-SA"/>
        </w:rPr>
      </w:pPr>
      <w:r>
        <w:rPr>
          <w:rFonts w:hint="eastAsia" w:ascii="宋体" w:hAnsi="宋体" w:cs="宋体"/>
          <w:sz w:val="21"/>
          <w:szCs w:val="21"/>
          <w:lang w:val="en-US" w:eastAsia="zh-Hans" w:bidi="ar-SA"/>
        </w:rPr>
        <w:t>2021</w:t>
      </w:r>
      <w:r>
        <w:rPr>
          <w:rFonts w:hint="eastAsia" w:ascii="宋体" w:hAnsi="宋体" w:cs="宋体"/>
          <w:sz w:val="21"/>
          <w:szCs w:val="21"/>
          <w:lang w:eastAsia="zh-Hans" w:bidi="ar-SA"/>
        </w:rPr>
        <w:t>年</w:t>
      </w:r>
      <w:r>
        <w:rPr>
          <w:rFonts w:hint="default" w:ascii="宋体" w:hAnsi="宋体" w:cs="宋体"/>
          <w:sz w:val="21"/>
          <w:szCs w:val="21"/>
          <w:lang w:val="en-US" w:eastAsia="zh-Hans" w:bidi="ar-SA"/>
        </w:rPr>
        <w:t>9</w:t>
      </w:r>
      <w:r>
        <w:rPr>
          <w:rFonts w:hint="eastAsia" w:ascii="宋体" w:hAnsi="宋体" w:cs="宋体"/>
          <w:sz w:val="21"/>
          <w:szCs w:val="21"/>
          <w:lang w:eastAsia="zh-Hans" w:bidi="ar-SA"/>
        </w:rPr>
        <w:t>月</w:t>
      </w:r>
      <w:r>
        <w:rPr>
          <w:rFonts w:hint="default" w:ascii="宋体" w:hAnsi="宋体" w:cs="宋体"/>
          <w:sz w:val="21"/>
          <w:szCs w:val="21"/>
          <w:lang w:val="en-US" w:eastAsia="zh-Hans" w:bidi="ar-SA"/>
        </w:rPr>
        <w:t>27</w:t>
      </w:r>
      <w:r>
        <w:rPr>
          <w:rFonts w:hint="eastAsia" w:ascii="宋体" w:hAnsi="宋体" w:cs="宋体"/>
          <w:sz w:val="21"/>
          <w:szCs w:val="21"/>
          <w:lang w:eastAsia="zh-Hans" w:bidi="ar-SA"/>
        </w:rPr>
        <w:t>日</w:t>
      </w:r>
    </w:p>
    <w:p>
      <w:pPr>
        <w:pStyle w:val="5"/>
        <w:widowControl/>
        <w:spacing w:before="0" w:beforeAutospacing="0" w:after="0" w:afterAutospacing="0" w:line="360" w:lineRule="auto"/>
        <w:ind w:left="0" w:right="0"/>
        <w:rPr>
          <w:rFonts w:hint="eastAsia" w:ascii="宋体" w:hAnsi="宋体" w:cs="宋体"/>
          <w:sz w:val="21"/>
          <w:szCs w:val="21"/>
          <w:lang w:eastAsia="zh-Hans" w:bidi="ar-SA"/>
        </w:rPr>
      </w:pPr>
      <w:r>
        <w:rPr>
          <w:rFonts w:hint="eastAsia" w:ascii="宋体" w:hAnsi="宋体" w:cs="宋体"/>
          <w:sz w:val="21"/>
          <w:szCs w:val="21"/>
          <w:lang w:eastAsia="zh-Hans" w:bidi="ar-SA"/>
        </w:rPr>
        <w:t>附表：自学考试本科各专业主干课程一览表</w:t>
      </w:r>
    </w:p>
    <w:tbl>
      <w:tblPr>
        <w:tblStyle w:val="6"/>
        <w:tblW w:w="7905" w:type="dxa"/>
        <w:tblCellSpacing w:w="1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2580"/>
        <w:gridCol w:w="3030"/>
        <w:gridCol w:w="22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15" w:type="dxa"/>
        </w:trPr>
        <w:tc>
          <w:tcPr>
            <w:tcW w:w="2535" w:type="dxa"/>
            <w:tcBorders>
              <w:top w:val="single" w:color="333333" w:sz="6" w:space="0"/>
              <w:left w:val="single" w:color="333333" w:sz="6" w:space="0"/>
              <w:bottom w:val="single" w:color="333333" w:sz="6" w:space="0"/>
              <w:right w:val="single" w:color="333333" w:sz="6" w:space="0"/>
            </w:tcBorders>
            <w:shd w:val="clear" w:color="auto" w:fill="FFFFFF"/>
            <w:tcMar>
              <w:top w:w="45" w:type="dxa"/>
              <w:left w:w="45" w:type="dxa"/>
              <w:bottom w:w="45" w:type="dxa"/>
              <w:right w:w="45" w:type="dxa"/>
            </w:tcMar>
            <w:vAlign w:val="center"/>
          </w:tcPr>
          <w:p>
            <w:pPr>
              <w:pStyle w:val="5"/>
              <w:widowControl/>
              <w:spacing w:before="0" w:beforeAutospacing="0" w:after="0" w:afterAutospacing="0" w:line="360" w:lineRule="auto"/>
              <w:ind w:left="0" w:right="0"/>
              <w:rPr>
                <w:rFonts w:hint="eastAsia" w:ascii="宋体" w:hAnsi="宋体" w:cs="宋体"/>
                <w:sz w:val="21"/>
                <w:szCs w:val="21"/>
                <w:lang w:eastAsia="zh-Hans" w:bidi="ar-SA"/>
              </w:rPr>
            </w:pPr>
            <w:r>
              <w:rPr>
                <w:rFonts w:hint="eastAsia" w:ascii="宋体" w:hAnsi="宋体" w:cs="宋体"/>
                <w:sz w:val="21"/>
                <w:szCs w:val="21"/>
                <w:lang w:eastAsia="zh-Hans" w:bidi="ar-SA"/>
              </w:rPr>
              <w:t>专业名称</w:t>
            </w:r>
          </w:p>
        </w:tc>
        <w:tc>
          <w:tcPr>
            <w:tcW w:w="3000" w:type="dxa"/>
            <w:tcBorders>
              <w:top w:val="single" w:color="333333" w:sz="6" w:space="0"/>
              <w:left w:val="single" w:color="333333" w:sz="6" w:space="0"/>
              <w:bottom w:val="single" w:color="333333" w:sz="6" w:space="0"/>
              <w:right w:val="single" w:color="333333" w:sz="6" w:space="0"/>
            </w:tcBorders>
            <w:shd w:val="clear" w:color="auto" w:fill="FFFFFF"/>
            <w:tcMar>
              <w:top w:w="45" w:type="dxa"/>
              <w:left w:w="45" w:type="dxa"/>
              <w:bottom w:w="45" w:type="dxa"/>
              <w:right w:w="45" w:type="dxa"/>
            </w:tcMar>
            <w:vAlign w:val="center"/>
          </w:tcPr>
          <w:p>
            <w:pPr>
              <w:pStyle w:val="5"/>
              <w:widowControl/>
              <w:spacing w:before="0" w:beforeAutospacing="0" w:after="0" w:afterAutospacing="0" w:line="360" w:lineRule="auto"/>
              <w:ind w:left="0" w:right="0"/>
              <w:rPr>
                <w:rFonts w:hint="eastAsia" w:ascii="宋体" w:hAnsi="宋体" w:cs="宋体"/>
                <w:sz w:val="21"/>
                <w:szCs w:val="21"/>
                <w:lang w:eastAsia="zh-Hans" w:bidi="ar-SA"/>
              </w:rPr>
            </w:pPr>
            <w:r>
              <w:rPr>
                <w:rFonts w:hint="eastAsia" w:ascii="宋体" w:hAnsi="宋体" w:cs="宋体"/>
                <w:sz w:val="21"/>
                <w:szCs w:val="21"/>
                <w:lang w:eastAsia="zh-Hans" w:bidi="ar-SA"/>
              </w:rPr>
              <w:t>主干课程名称</w:t>
            </w:r>
          </w:p>
        </w:tc>
        <w:tc>
          <w:tcPr>
            <w:tcW w:w="2250" w:type="dxa"/>
            <w:tcBorders>
              <w:top w:val="single" w:color="333333" w:sz="6" w:space="0"/>
              <w:left w:val="single" w:color="333333" w:sz="6" w:space="0"/>
              <w:bottom w:val="single" w:color="333333" w:sz="6" w:space="0"/>
              <w:right w:val="single" w:color="333333" w:sz="6" w:space="0"/>
            </w:tcBorders>
            <w:shd w:val="clear" w:color="auto" w:fill="FFFFFF"/>
            <w:tcMar>
              <w:top w:w="45" w:type="dxa"/>
              <w:left w:w="45" w:type="dxa"/>
              <w:bottom w:w="45" w:type="dxa"/>
              <w:right w:w="45" w:type="dxa"/>
            </w:tcMar>
            <w:vAlign w:val="center"/>
          </w:tcPr>
          <w:p>
            <w:pPr>
              <w:pStyle w:val="5"/>
              <w:widowControl/>
              <w:spacing w:before="0" w:beforeAutospacing="0" w:after="0" w:afterAutospacing="0" w:line="360" w:lineRule="auto"/>
              <w:ind w:left="0" w:right="0"/>
              <w:rPr>
                <w:rFonts w:hint="eastAsia" w:ascii="宋体" w:hAnsi="宋体" w:cs="宋体"/>
                <w:sz w:val="21"/>
                <w:szCs w:val="21"/>
                <w:lang w:eastAsia="zh-Hans" w:bidi="ar-SA"/>
              </w:rPr>
            </w:pPr>
            <w:r>
              <w:rPr>
                <w:rFonts w:hint="eastAsia" w:ascii="宋体" w:hAnsi="宋体" w:cs="宋体"/>
                <w:sz w:val="21"/>
                <w:szCs w:val="21"/>
                <w:lang w:eastAsia="zh-Hans" w:bidi="ar-SA"/>
              </w:rPr>
              <w:t>课程代码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15" w:type="dxa"/>
        </w:trPr>
        <w:tc>
          <w:tcPr>
            <w:tcW w:w="0" w:type="auto"/>
            <w:vMerge w:val="restart"/>
            <w:tcBorders>
              <w:top w:val="single" w:color="333333" w:sz="6" w:space="0"/>
              <w:left w:val="single" w:color="333333" w:sz="6" w:space="0"/>
              <w:bottom w:val="single" w:color="333333" w:sz="6" w:space="0"/>
              <w:right w:val="single" w:color="333333" w:sz="6" w:space="0"/>
            </w:tcBorders>
            <w:shd w:val="clear" w:color="auto" w:fill="FFFFFF"/>
            <w:tcMar>
              <w:top w:w="45" w:type="dxa"/>
              <w:left w:w="45" w:type="dxa"/>
              <w:bottom w:w="45" w:type="dxa"/>
              <w:right w:w="45" w:type="dxa"/>
            </w:tcMar>
            <w:vAlign w:val="center"/>
          </w:tcPr>
          <w:p>
            <w:pPr>
              <w:pStyle w:val="5"/>
              <w:widowControl/>
              <w:spacing w:before="0" w:beforeAutospacing="0" w:after="0" w:afterAutospacing="0" w:line="360" w:lineRule="auto"/>
              <w:ind w:left="0" w:right="0"/>
              <w:rPr>
                <w:rFonts w:hint="eastAsia" w:ascii="宋体" w:hAnsi="宋体" w:cs="宋体"/>
                <w:sz w:val="21"/>
                <w:szCs w:val="21"/>
                <w:lang w:eastAsia="zh-Hans" w:bidi="ar-SA"/>
              </w:rPr>
            </w:pPr>
            <w:r>
              <w:rPr>
                <w:rFonts w:hint="eastAsia" w:ascii="宋体" w:hAnsi="宋体" w:cs="宋体"/>
                <w:sz w:val="21"/>
                <w:szCs w:val="21"/>
                <w:lang w:eastAsia="zh-Hans" w:bidi="ar-SA"/>
              </w:rPr>
              <w:t>电力系统及其自动化</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45" w:type="dxa"/>
              <w:left w:w="45" w:type="dxa"/>
              <w:bottom w:w="45" w:type="dxa"/>
              <w:right w:w="45" w:type="dxa"/>
            </w:tcMar>
            <w:vAlign w:val="center"/>
          </w:tcPr>
          <w:p>
            <w:pPr>
              <w:pStyle w:val="5"/>
              <w:widowControl/>
              <w:spacing w:before="0" w:beforeAutospacing="0" w:after="0" w:afterAutospacing="0" w:line="360" w:lineRule="auto"/>
              <w:ind w:left="0" w:right="0"/>
              <w:rPr>
                <w:rFonts w:hint="eastAsia" w:ascii="宋体" w:hAnsi="宋体" w:cs="宋体"/>
                <w:sz w:val="21"/>
                <w:szCs w:val="21"/>
                <w:lang w:eastAsia="zh-Hans" w:bidi="ar-SA"/>
              </w:rPr>
            </w:pPr>
            <w:r>
              <w:rPr>
                <w:rFonts w:hint="eastAsia" w:ascii="宋体" w:hAnsi="宋体" w:cs="宋体"/>
                <w:sz w:val="21"/>
                <w:szCs w:val="21"/>
                <w:lang w:eastAsia="zh-Hans" w:bidi="ar-SA"/>
              </w:rPr>
              <w:t>电力电子变流技术</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45" w:type="dxa"/>
              <w:left w:w="45" w:type="dxa"/>
              <w:bottom w:w="45" w:type="dxa"/>
              <w:right w:w="45" w:type="dxa"/>
            </w:tcMar>
            <w:vAlign w:val="center"/>
          </w:tcPr>
          <w:p>
            <w:pPr>
              <w:pStyle w:val="5"/>
              <w:widowControl/>
              <w:spacing w:before="0" w:beforeAutospacing="0" w:after="0" w:afterAutospacing="0" w:line="360" w:lineRule="auto"/>
              <w:ind w:left="0" w:right="0"/>
              <w:rPr>
                <w:rFonts w:hint="eastAsia" w:ascii="宋体" w:hAnsi="宋体" w:cs="宋体"/>
                <w:sz w:val="21"/>
                <w:szCs w:val="21"/>
                <w:lang w:eastAsia="zh-Hans" w:bidi="ar-SA"/>
              </w:rPr>
            </w:pPr>
            <w:r>
              <w:rPr>
                <w:rFonts w:hint="eastAsia" w:ascii="宋体" w:hAnsi="宋体" w:cs="宋体"/>
                <w:sz w:val="21"/>
                <w:szCs w:val="21"/>
                <w:lang w:val="en-US" w:eastAsia="zh-Hans" w:bidi="ar-SA"/>
              </w:rPr>
              <w:t>2308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15" w:type="dxa"/>
        </w:trPr>
        <w:tc>
          <w:tcPr>
            <w:tcW w:w="0" w:type="auto"/>
            <w:vMerge w:val="continue"/>
            <w:tcBorders>
              <w:top w:val="single" w:color="333333" w:sz="6" w:space="0"/>
              <w:left w:val="single" w:color="333333" w:sz="6" w:space="0"/>
              <w:bottom w:val="single" w:color="333333" w:sz="6" w:space="0"/>
              <w:right w:val="single" w:color="333333" w:sz="6" w:space="0"/>
            </w:tcBorders>
            <w:shd w:val="clear" w:color="auto" w:fill="FFFFFF"/>
            <w:tcMar>
              <w:top w:w="45" w:type="dxa"/>
              <w:left w:w="45" w:type="dxa"/>
              <w:bottom w:w="45" w:type="dxa"/>
              <w:right w:w="45" w:type="dxa"/>
            </w:tcMar>
            <w:vAlign w:val="center"/>
          </w:tcPr>
          <w:p>
            <w:pPr>
              <w:pStyle w:val="5"/>
              <w:widowControl/>
              <w:spacing w:before="0" w:beforeAutospacing="0" w:after="0" w:afterAutospacing="0" w:line="360" w:lineRule="auto"/>
              <w:ind w:left="0" w:right="0"/>
              <w:rPr>
                <w:rFonts w:hint="eastAsia" w:ascii="宋体" w:hAnsi="宋体" w:cs="宋体"/>
                <w:sz w:val="21"/>
                <w:szCs w:val="21"/>
                <w:lang w:eastAsia="zh-Hans" w:bidi="ar-SA"/>
              </w:rPr>
            </w:pP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45" w:type="dxa"/>
              <w:left w:w="45" w:type="dxa"/>
              <w:bottom w:w="45" w:type="dxa"/>
              <w:right w:w="45" w:type="dxa"/>
            </w:tcMar>
            <w:vAlign w:val="center"/>
          </w:tcPr>
          <w:p>
            <w:pPr>
              <w:pStyle w:val="5"/>
              <w:widowControl/>
              <w:spacing w:before="0" w:beforeAutospacing="0" w:after="0" w:afterAutospacing="0" w:line="360" w:lineRule="auto"/>
              <w:ind w:left="0" w:right="0"/>
              <w:rPr>
                <w:rFonts w:hint="eastAsia" w:ascii="宋体" w:hAnsi="宋体" w:cs="宋体"/>
                <w:sz w:val="21"/>
                <w:szCs w:val="21"/>
                <w:lang w:eastAsia="zh-Hans" w:bidi="ar-SA"/>
              </w:rPr>
            </w:pPr>
            <w:r>
              <w:rPr>
                <w:rFonts w:hint="eastAsia" w:ascii="宋体" w:hAnsi="宋体" w:cs="宋体"/>
                <w:sz w:val="21"/>
                <w:szCs w:val="21"/>
                <w:lang w:eastAsia="zh-Hans" w:bidi="ar-SA"/>
              </w:rPr>
              <w:t>高电压技术</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45" w:type="dxa"/>
              <w:left w:w="45" w:type="dxa"/>
              <w:bottom w:w="45" w:type="dxa"/>
              <w:right w:w="45" w:type="dxa"/>
            </w:tcMar>
            <w:vAlign w:val="center"/>
          </w:tcPr>
          <w:p>
            <w:pPr>
              <w:pStyle w:val="5"/>
              <w:widowControl/>
              <w:spacing w:before="0" w:beforeAutospacing="0" w:after="0" w:afterAutospacing="0" w:line="360" w:lineRule="auto"/>
              <w:ind w:left="0" w:right="0"/>
              <w:rPr>
                <w:rFonts w:hint="eastAsia" w:ascii="宋体" w:hAnsi="宋体" w:cs="宋体"/>
                <w:sz w:val="21"/>
                <w:szCs w:val="21"/>
                <w:lang w:eastAsia="zh-Hans" w:bidi="ar-SA"/>
              </w:rPr>
            </w:pPr>
            <w:r>
              <w:rPr>
                <w:rFonts w:hint="eastAsia" w:ascii="宋体" w:hAnsi="宋体" w:cs="宋体"/>
                <w:sz w:val="21"/>
                <w:szCs w:val="21"/>
                <w:lang w:val="en-US" w:eastAsia="zh-Hans" w:bidi="ar-SA"/>
              </w:rPr>
              <w:t>2653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15" w:type="dxa"/>
        </w:trPr>
        <w:tc>
          <w:tcPr>
            <w:tcW w:w="0" w:type="auto"/>
            <w:vMerge w:val="continue"/>
            <w:tcBorders>
              <w:top w:val="single" w:color="333333" w:sz="6" w:space="0"/>
              <w:left w:val="single" w:color="333333" w:sz="6" w:space="0"/>
              <w:bottom w:val="single" w:color="333333" w:sz="6" w:space="0"/>
              <w:right w:val="single" w:color="333333" w:sz="6" w:space="0"/>
            </w:tcBorders>
            <w:shd w:val="clear" w:color="auto" w:fill="FFFFFF"/>
            <w:tcMar>
              <w:top w:w="45" w:type="dxa"/>
              <w:left w:w="45" w:type="dxa"/>
              <w:bottom w:w="45" w:type="dxa"/>
              <w:right w:w="45" w:type="dxa"/>
            </w:tcMar>
            <w:vAlign w:val="center"/>
          </w:tcPr>
          <w:p>
            <w:pPr>
              <w:pStyle w:val="5"/>
              <w:widowControl/>
              <w:spacing w:before="0" w:beforeAutospacing="0" w:after="0" w:afterAutospacing="0" w:line="360" w:lineRule="auto"/>
              <w:ind w:left="0" w:right="0"/>
              <w:rPr>
                <w:rFonts w:hint="eastAsia" w:ascii="宋体" w:hAnsi="宋体" w:cs="宋体"/>
                <w:sz w:val="21"/>
                <w:szCs w:val="21"/>
                <w:lang w:eastAsia="zh-Hans" w:bidi="ar-SA"/>
              </w:rPr>
            </w:pP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45" w:type="dxa"/>
              <w:left w:w="45" w:type="dxa"/>
              <w:bottom w:w="45" w:type="dxa"/>
              <w:right w:w="45" w:type="dxa"/>
            </w:tcMar>
            <w:vAlign w:val="center"/>
          </w:tcPr>
          <w:p>
            <w:pPr>
              <w:pStyle w:val="5"/>
              <w:widowControl/>
              <w:spacing w:before="0" w:beforeAutospacing="0" w:after="0" w:afterAutospacing="0" w:line="360" w:lineRule="auto"/>
              <w:ind w:left="0" w:right="0"/>
              <w:rPr>
                <w:rFonts w:hint="eastAsia" w:ascii="宋体" w:hAnsi="宋体" w:cs="宋体"/>
                <w:sz w:val="21"/>
                <w:szCs w:val="21"/>
                <w:lang w:eastAsia="zh-Hans" w:bidi="ar-SA"/>
              </w:rPr>
            </w:pPr>
            <w:r>
              <w:rPr>
                <w:rFonts w:hint="eastAsia" w:ascii="宋体" w:hAnsi="宋体" w:cs="宋体"/>
                <w:sz w:val="21"/>
                <w:szCs w:val="21"/>
                <w:lang w:eastAsia="zh-Hans" w:bidi="ar-SA"/>
              </w:rPr>
              <w:t>电力系统远动及调度自动化</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45" w:type="dxa"/>
              <w:left w:w="45" w:type="dxa"/>
              <w:bottom w:w="45" w:type="dxa"/>
              <w:right w:w="45" w:type="dxa"/>
            </w:tcMar>
            <w:vAlign w:val="center"/>
          </w:tcPr>
          <w:p>
            <w:pPr>
              <w:pStyle w:val="5"/>
              <w:widowControl/>
              <w:spacing w:before="0" w:beforeAutospacing="0" w:after="0" w:afterAutospacing="0" w:line="360" w:lineRule="auto"/>
              <w:ind w:left="0" w:right="0"/>
              <w:rPr>
                <w:rFonts w:hint="eastAsia" w:ascii="宋体" w:hAnsi="宋体" w:cs="宋体"/>
                <w:sz w:val="21"/>
                <w:szCs w:val="21"/>
                <w:lang w:eastAsia="zh-Hans" w:bidi="ar-SA"/>
              </w:rPr>
            </w:pPr>
            <w:r>
              <w:rPr>
                <w:rFonts w:hint="eastAsia" w:ascii="宋体" w:hAnsi="宋体" w:cs="宋体"/>
                <w:sz w:val="21"/>
                <w:szCs w:val="21"/>
                <w:lang w:val="en-US" w:eastAsia="zh-Hans" w:bidi="ar-SA"/>
              </w:rPr>
              <w:t>2312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15" w:type="dxa"/>
        </w:trPr>
        <w:tc>
          <w:tcPr>
            <w:tcW w:w="0" w:type="auto"/>
            <w:vMerge w:val="continue"/>
            <w:tcBorders>
              <w:top w:val="single" w:color="333333" w:sz="6" w:space="0"/>
              <w:left w:val="single" w:color="333333" w:sz="6" w:space="0"/>
              <w:bottom w:val="single" w:color="333333" w:sz="6" w:space="0"/>
              <w:right w:val="single" w:color="333333" w:sz="6" w:space="0"/>
            </w:tcBorders>
            <w:shd w:val="clear" w:color="auto" w:fill="FFFFFF"/>
            <w:tcMar>
              <w:top w:w="45" w:type="dxa"/>
              <w:left w:w="45" w:type="dxa"/>
              <w:bottom w:w="45" w:type="dxa"/>
              <w:right w:w="45" w:type="dxa"/>
            </w:tcMar>
            <w:vAlign w:val="center"/>
          </w:tcPr>
          <w:p>
            <w:pPr>
              <w:pStyle w:val="5"/>
              <w:widowControl/>
              <w:spacing w:before="0" w:beforeAutospacing="0" w:after="0" w:afterAutospacing="0" w:line="360" w:lineRule="auto"/>
              <w:ind w:left="0" w:right="0"/>
              <w:rPr>
                <w:rFonts w:hint="eastAsia" w:ascii="宋体" w:hAnsi="宋体" w:cs="宋体"/>
                <w:sz w:val="21"/>
                <w:szCs w:val="21"/>
                <w:lang w:eastAsia="zh-Hans" w:bidi="ar-SA"/>
              </w:rPr>
            </w:pP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45" w:type="dxa"/>
              <w:left w:w="45" w:type="dxa"/>
              <w:bottom w:w="45" w:type="dxa"/>
              <w:right w:w="45" w:type="dxa"/>
            </w:tcMar>
            <w:vAlign w:val="center"/>
          </w:tcPr>
          <w:p>
            <w:pPr>
              <w:pStyle w:val="5"/>
              <w:widowControl/>
              <w:spacing w:before="0" w:beforeAutospacing="0" w:after="0" w:afterAutospacing="0" w:line="360" w:lineRule="auto"/>
              <w:ind w:left="0" w:right="0"/>
              <w:rPr>
                <w:rFonts w:hint="eastAsia" w:ascii="宋体" w:hAnsi="宋体" w:cs="宋体"/>
                <w:sz w:val="21"/>
                <w:szCs w:val="21"/>
                <w:lang w:eastAsia="zh-Hans" w:bidi="ar-SA"/>
              </w:rPr>
            </w:pPr>
            <w:r>
              <w:rPr>
                <w:rFonts w:hint="eastAsia" w:ascii="宋体" w:hAnsi="宋体" w:cs="宋体"/>
                <w:sz w:val="21"/>
                <w:szCs w:val="21"/>
                <w:lang w:eastAsia="zh-Hans" w:bidi="ar-SA"/>
              </w:rPr>
              <w:t>电力系统分析</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45" w:type="dxa"/>
              <w:left w:w="45" w:type="dxa"/>
              <w:bottom w:w="45" w:type="dxa"/>
              <w:right w:w="45" w:type="dxa"/>
            </w:tcMar>
            <w:vAlign w:val="center"/>
          </w:tcPr>
          <w:p>
            <w:pPr>
              <w:pStyle w:val="5"/>
              <w:widowControl/>
              <w:spacing w:before="0" w:beforeAutospacing="0" w:after="0" w:afterAutospacing="0" w:line="360" w:lineRule="auto"/>
              <w:ind w:left="0" w:right="0"/>
              <w:rPr>
                <w:rFonts w:hint="eastAsia" w:ascii="宋体" w:hAnsi="宋体" w:cs="宋体"/>
                <w:sz w:val="21"/>
                <w:szCs w:val="21"/>
                <w:lang w:eastAsia="zh-Hans" w:bidi="ar-SA"/>
              </w:rPr>
            </w:pPr>
            <w:r>
              <w:rPr>
                <w:rFonts w:hint="eastAsia" w:ascii="宋体" w:hAnsi="宋体" w:cs="宋体"/>
                <w:sz w:val="21"/>
                <w:szCs w:val="21"/>
                <w:lang w:val="en-US" w:eastAsia="zh-Hans" w:bidi="ar-SA"/>
              </w:rPr>
              <w:t>2310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15" w:type="dxa"/>
        </w:trPr>
        <w:tc>
          <w:tcPr>
            <w:tcW w:w="0" w:type="auto"/>
            <w:vMerge w:val="continue"/>
            <w:tcBorders>
              <w:top w:val="single" w:color="333333" w:sz="6" w:space="0"/>
              <w:left w:val="single" w:color="333333" w:sz="6" w:space="0"/>
              <w:bottom w:val="single" w:color="333333" w:sz="6" w:space="0"/>
              <w:right w:val="single" w:color="333333" w:sz="6" w:space="0"/>
            </w:tcBorders>
            <w:shd w:val="clear" w:color="auto" w:fill="FFFFFF"/>
            <w:tcMar>
              <w:top w:w="45" w:type="dxa"/>
              <w:left w:w="45" w:type="dxa"/>
              <w:bottom w:w="45" w:type="dxa"/>
              <w:right w:w="45" w:type="dxa"/>
            </w:tcMar>
            <w:vAlign w:val="center"/>
          </w:tcPr>
          <w:p>
            <w:pPr>
              <w:pStyle w:val="5"/>
              <w:widowControl/>
              <w:spacing w:before="0" w:beforeAutospacing="0" w:after="0" w:afterAutospacing="0" w:line="360" w:lineRule="auto"/>
              <w:ind w:left="0" w:right="0"/>
              <w:rPr>
                <w:rFonts w:hint="eastAsia" w:ascii="宋体" w:hAnsi="宋体" w:cs="宋体"/>
                <w:sz w:val="21"/>
                <w:szCs w:val="21"/>
                <w:lang w:eastAsia="zh-Hans" w:bidi="ar-SA"/>
              </w:rPr>
            </w:pP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45" w:type="dxa"/>
              <w:left w:w="45" w:type="dxa"/>
              <w:bottom w:w="45" w:type="dxa"/>
              <w:right w:w="45" w:type="dxa"/>
            </w:tcMar>
            <w:vAlign w:val="center"/>
          </w:tcPr>
          <w:p>
            <w:pPr>
              <w:pStyle w:val="5"/>
              <w:widowControl/>
              <w:spacing w:before="0" w:beforeAutospacing="0" w:after="0" w:afterAutospacing="0" w:line="360" w:lineRule="auto"/>
              <w:ind w:left="0" w:right="0"/>
              <w:rPr>
                <w:rFonts w:hint="eastAsia" w:ascii="宋体" w:hAnsi="宋体" w:cs="宋体"/>
                <w:sz w:val="21"/>
                <w:szCs w:val="21"/>
                <w:lang w:eastAsia="zh-Hans" w:bidi="ar-SA"/>
              </w:rPr>
            </w:pPr>
            <w:r>
              <w:rPr>
                <w:rFonts w:hint="eastAsia" w:ascii="宋体" w:hAnsi="宋体" w:cs="宋体"/>
                <w:sz w:val="21"/>
                <w:szCs w:val="21"/>
                <w:lang w:eastAsia="zh-Hans" w:bidi="ar-SA"/>
              </w:rPr>
              <w:t>电力系统微型计算机继电保护</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45" w:type="dxa"/>
              <w:left w:w="45" w:type="dxa"/>
              <w:bottom w:w="45" w:type="dxa"/>
              <w:right w:w="45" w:type="dxa"/>
            </w:tcMar>
            <w:vAlign w:val="center"/>
          </w:tcPr>
          <w:p>
            <w:pPr>
              <w:pStyle w:val="5"/>
              <w:widowControl/>
              <w:spacing w:before="0" w:beforeAutospacing="0" w:after="0" w:afterAutospacing="0" w:line="360" w:lineRule="auto"/>
              <w:ind w:left="0" w:right="0"/>
              <w:rPr>
                <w:rFonts w:hint="eastAsia" w:ascii="宋体" w:hAnsi="宋体" w:cs="宋体"/>
                <w:sz w:val="21"/>
                <w:szCs w:val="21"/>
                <w:lang w:eastAsia="zh-Hans" w:bidi="ar-SA"/>
              </w:rPr>
            </w:pPr>
            <w:r>
              <w:rPr>
                <w:rFonts w:hint="eastAsia" w:ascii="宋体" w:hAnsi="宋体" w:cs="宋体"/>
                <w:sz w:val="21"/>
                <w:szCs w:val="21"/>
                <w:lang w:val="en-US" w:eastAsia="zh-Hans" w:bidi="ar-SA"/>
              </w:rPr>
              <w:t>2313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15" w:type="dxa"/>
        </w:trPr>
        <w:tc>
          <w:tcPr>
            <w:tcW w:w="0" w:type="auto"/>
            <w:gridSpan w:val="3"/>
            <w:tcBorders>
              <w:top w:val="single" w:color="333333" w:sz="6" w:space="0"/>
              <w:left w:val="single" w:color="333333" w:sz="6" w:space="0"/>
              <w:bottom w:val="single" w:color="333333" w:sz="6" w:space="0"/>
              <w:right w:val="single" w:color="333333" w:sz="6" w:space="0"/>
            </w:tcBorders>
            <w:shd w:val="clear" w:color="auto" w:fill="FFFFFF"/>
            <w:tcMar>
              <w:top w:w="45" w:type="dxa"/>
              <w:left w:w="45" w:type="dxa"/>
              <w:bottom w:w="45" w:type="dxa"/>
              <w:right w:w="45" w:type="dxa"/>
            </w:tcMar>
            <w:vAlign w:val="center"/>
          </w:tcPr>
          <w:p>
            <w:pPr>
              <w:pStyle w:val="5"/>
              <w:widowControl/>
              <w:spacing w:before="0" w:beforeAutospacing="0" w:after="0" w:afterAutospacing="0" w:line="360" w:lineRule="auto"/>
              <w:ind w:left="0" w:right="0"/>
              <w:rPr>
                <w:rFonts w:hint="eastAsia" w:ascii="宋体" w:hAnsi="宋体" w:cs="宋体"/>
                <w:sz w:val="21"/>
                <w:szCs w:val="21"/>
                <w:lang w:eastAsia="zh-Hans"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15" w:type="dxa"/>
        </w:trPr>
        <w:tc>
          <w:tcPr>
            <w:tcW w:w="0" w:type="auto"/>
            <w:vMerge w:val="restart"/>
            <w:tcBorders>
              <w:top w:val="single" w:color="333333" w:sz="6" w:space="0"/>
              <w:left w:val="single" w:color="333333" w:sz="6" w:space="0"/>
              <w:bottom w:val="single" w:color="333333" w:sz="6" w:space="0"/>
              <w:right w:val="single" w:color="333333" w:sz="6" w:space="0"/>
            </w:tcBorders>
            <w:shd w:val="clear" w:color="auto" w:fill="FFFFFF"/>
            <w:tcMar>
              <w:top w:w="45" w:type="dxa"/>
              <w:left w:w="45" w:type="dxa"/>
              <w:bottom w:w="45" w:type="dxa"/>
              <w:right w:w="45" w:type="dxa"/>
            </w:tcMar>
            <w:vAlign w:val="center"/>
          </w:tcPr>
          <w:p>
            <w:pPr>
              <w:pStyle w:val="5"/>
              <w:widowControl/>
              <w:spacing w:before="0" w:beforeAutospacing="0" w:after="0" w:afterAutospacing="0" w:line="360" w:lineRule="auto"/>
              <w:ind w:left="0" w:right="0"/>
              <w:rPr>
                <w:rFonts w:hint="eastAsia" w:ascii="宋体" w:hAnsi="宋体" w:cs="宋体"/>
                <w:sz w:val="21"/>
                <w:szCs w:val="21"/>
                <w:lang w:eastAsia="zh-Hans" w:bidi="ar-SA"/>
              </w:rPr>
            </w:pPr>
            <w:r>
              <w:rPr>
                <w:rFonts w:hint="eastAsia" w:ascii="宋体" w:hAnsi="宋体" w:cs="宋体"/>
                <w:sz w:val="21"/>
                <w:szCs w:val="21"/>
                <w:lang w:eastAsia="zh-Hans" w:bidi="ar-SA"/>
              </w:rPr>
              <w:t>电厂热能动力工程</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45" w:type="dxa"/>
              <w:left w:w="45" w:type="dxa"/>
              <w:bottom w:w="45" w:type="dxa"/>
              <w:right w:w="45" w:type="dxa"/>
            </w:tcMar>
            <w:vAlign w:val="center"/>
          </w:tcPr>
          <w:p>
            <w:pPr>
              <w:pStyle w:val="5"/>
              <w:widowControl/>
              <w:spacing w:before="0" w:beforeAutospacing="0" w:after="0" w:afterAutospacing="0" w:line="360" w:lineRule="auto"/>
              <w:ind w:left="0" w:right="0"/>
              <w:rPr>
                <w:rFonts w:hint="eastAsia" w:ascii="宋体" w:hAnsi="宋体" w:cs="宋体"/>
                <w:sz w:val="21"/>
                <w:szCs w:val="21"/>
                <w:lang w:eastAsia="zh-Hans" w:bidi="ar-SA"/>
              </w:rPr>
            </w:pPr>
            <w:r>
              <w:rPr>
                <w:rFonts w:hint="eastAsia" w:ascii="宋体" w:hAnsi="宋体" w:cs="宋体"/>
                <w:sz w:val="21"/>
                <w:szCs w:val="21"/>
                <w:lang w:eastAsia="zh-Hans" w:bidi="ar-SA"/>
              </w:rPr>
              <w:t>锅炉燃烧设备</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45" w:type="dxa"/>
              <w:left w:w="45" w:type="dxa"/>
              <w:bottom w:w="45" w:type="dxa"/>
              <w:right w:w="45" w:type="dxa"/>
            </w:tcMar>
            <w:vAlign w:val="center"/>
          </w:tcPr>
          <w:p>
            <w:pPr>
              <w:pStyle w:val="5"/>
              <w:widowControl/>
              <w:spacing w:before="0" w:beforeAutospacing="0" w:after="0" w:afterAutospacing="0" w:line="360" w:lineRule="auto"/>
              <w:ind w:left="0" w:right="0"/>
              <w:rPr>
                <w:rFonts w:hint="eastAsia" w:ascii="宋体" w:hAnsi="宋体" w:cs="宋体"/>
                <w:sz w:val="21"/>
                <w:szCs w:val="21"/>
                <w:lang w:eastAsia="zh-Hans" w:bidi="ar-SA"/>
              </w:rPr>
            </w:pPr>
            <w:r>
              <w:rPr>
                <w:rFonts w:hint="eastAsia" w:ascii="宋体" w:hAnsi="宋体" w:cs="宋体"/>
                <w:sz w:val="21"/>
                <w:szCs w:val="21"/>
                <w:lang w:val="en-US" w:eastAsia="zh-Hans" w:bidi="ar-SA"/>
              </w:rPr>
              <w:t>2264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15" w:type="dxa"/>
        </w:trPr>
        <w:tc>
          <w:tcPr>
            <w:tcW w:w="0" w:type="auto"/>
            <w:vMerge w:val="continue"/>
            <w:tcBorders>
              <w:top w:val="single" w:color="333333" w:sz="6" w:space="0"/>
              <w:left w:val="single" w:color="333333" w:sz="6" w:space="0"/>
              <w:bottom w:val="single" w:color="333333" w:sz="6" w:space="0"/>
              <w:right w:val="single" w:color="333333" w:sz="6" w:space="0"/>
            </w:tcBorders>
            <w:shd w:val="clear" w:color="auto" w:fill="FFFFFF"/>
            <w:tcMar>
              <w:top w:w="45" w:type="dxa"/>
              <w:left w:w="45" w:type="dxa"/>
              <w:bottom w:w="45" w:type="dxa"/>
              <w:right w:w="45" w:type="dxa"/>
            </w:tcMar>
            <w:vAlign w:val="center"/>
          </w:tcPr>
          <w:p>
            <w:pPr>
              <w:pStyle w:val="5"/>
              <w:widowControl/>
              <w:spacing w:before="0" w:beforeAutospacing="0" w:after="0" w:afterAutospacing="0" w:line="360" w:lineRule="auto"/>
              <w:ind w:left="0" w:right="0"/>
              <w:rPr>
                <w:rFonts w:hint="eastAsia" w:ascii="宋体" w:hAnsi="宋体" w:cs="宋体"/>
                <w:sz w:val="21"/>
                <w:szCs w:val="21"/>
                <w:lang w:eastAsia="zh-Hans" w:bidi="ar-SA"/>
              </w:rPr>
            </w:pP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45" w:type="dxa"/>
              <w:left w:w="45" w:type="dxa"/>
              <w:bottom w:w="45" w:type="dxa"/>
              <w:right w:w="45" w:type="dxa"/>
            </w:tcMar>
            <w:vAlign w:val="center"/>
          </w:tcPr>
          <w:p>
            <w:pPr>
              <w:pStyle w:val="5"/>
              <w:widowControl/>
              <w:spacing w:before="0" w:beforeAutospacing="0" w:after="0" w:afterAutospacing="0" w:line="360" w:lineRule="auto"/>
              <w:ind w:left="0" w:right="0"/>
              <w:rPr>
                <w:rFonts w:hint="eastAsia" w:ascii="宋体" w:hAnsi="宋体" w:cs="宋体"/>
                <w:sz w:val="21"/>
                <w:szCs w:val="21"/>
                <w:lang w:eastAsia="zh-Hans" w:bidi="ar-SA"/>
              </w:rPr>
            </w:pPr>
            <w:r>
              <w:rPr>
                <w:rFonts w:hint="eastAsia" w:ascii="宋体" w:hAnsi="宋体" w:cs="宋体"/>
                <w:sz w:val="21"/>
                <w:szCs w:val="21"/>
                <w:lang w:eastAsia="zh-Hans" w:bidi="ar-SA"/>
              </w:rPr>
              <w:t>汽轮机原理及运行</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45" w:type="dxa"/>
              <w:left w:w="45" w:type="dxa"/>
              <w:bottom w:w="45" w:type="dxa"/>
              <w:right w:w="45" w:type="dxa"/>
            </w:tcMar>
            <w:vAlign w:val="center"/>
          </w:tcPr>
          <w:p>
            <w:pPr>
              <w:pStyle w:val="5"/>
              <w:widowControl/>
              <w:spacing w:before="0" w:beforeAutospacing="0" w:after="0" w:afterAutospacing="0" w:line="360" w:lineRule="auto"/>
              <w:ind w:left="0" w:right="0"/>
              <w:rPr>
                <w:rFonts w:hint="eastAsia" w:ascii="宋体" w:hAnsi="宋体" w:cs="宋体"/>
                <w:sz w:val="21"/>
                <w:szCs w:val="21"/>
                <w:lang w:eastAsia="zh-Hans" w:bidi="ar-SA"/>
              </w:rPr>
            </w:pPr>
            <w:r>
              <w:rPr>
                <w:rFonts w:hint="eastAsia" w:ascii="宋体" w:hAnsi="宋体" w:cs="宋体"/>
                <w:sz w:val="21"/>
                <w:szCs w:val="21"/>
                <w:lang w:val="en-US" w:eastAsia="zh-Hans" w:bidi="ar-SA"/>
              </w:rPr>
              <w:t>2265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15" w:type="dxa"/>
        </w:trPr>
        <w:tc>
          <w:tcPr>
            <w:tcW w:w="0" w:type="auto"/>
            <w:vMerge w:val="continue"/>
            <w:tcBorders>
              <w:top w:val="single" w:color="333333" w:sz="6" w:space="0"/>
              <w:left w:val="single" w:color="333333" w:sz="6" w:space="0"/>
              <w:bottom w:val="single" w:color="333333" w:sz="6" w:space="0"/>
              <w:right w:val="single" w:color="333333" w:sz="6" w:space="0"/>
            </w:tcBorders>
            <w:shd w:val="clear" w:color="auto" w:fill="FFFFFF"/>
            <w:tcMar>
              <w:top w:w="45" w:type="dxa"/>
              <w:left w:w="45" w:type="dxa"/>
              <w:bottom w:w="45" w:type="dxa"/>
              <w:right w:w="45" w:type="dxa"/>
            </w:tcMar>
            <w:vAlign w:val="center"/>
          </w:tcPr>
          <w:p>
            <w:pPr>
              <w:pStyle w:val="5"/>
              <w:widowControl/>
              <w:spacing w:before="0" w:beforeAutospacing="0" w:after="0" w:afterAutospacing="0" w:line="360" w:lineRule="auto"/>
              <w:ind w:left="0" w:right="0"/>
              <w:rPr>
                <w:rFonts w:hint="eastAsia" w:ascii="宋体" w:hAnsi="宋体" w:cs="宋体"/>
                <w:sz w:val="21"/>
                <w:szCs w:val="21"/>
                <w:lang w:eastAsia="zh-Hans" w:bidi="ar-SA"/>
              </w:rPr>
            </w:pP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45" w:type="dxa"/>
              <w:left w:w="45" w:type="dxa"/>
              <w:bottom w:w="45" w:type="dxa"/>
              <w:right w:w="45" w:type="dxa"/>
            </w:tcMar>
            <w:vAlign w:val="center"/>
          </w:tcPr>
          <w:p>
            <w:pPr>
              <w:pStyle w:val="5"/>
              <w:widowControl/>
              <w:spacing w:before="0" w:beforeAutospacing="0" w:after="0" w:afterAutospacing="0" w:line="360" w:lineRule="auto"/>
              <w:ind w:left="0" w:right="0"/>
              <w:rPr>
                <w:rFonts w:hint="eastAsia" w:ascii="宋体" w:hAnsi="宋体" w:cs="宋体"/>
                <w:sz w:val="21"/>
                <w:szCs w:val="21"/>
                <w:lang w:eastAsia="zh-Hans" w:bidi="ar-SA"/>
              </w:rPr>
            </w:pPr>
            <w:r>
              <w:rPr>
                <w:rFonts w:hint="eastAsia" w:ascii="宋体" w:hAnsi="宋体" w:cs="宋体"/>
                <w:sz w:val="21"/>
                <w:szCs w:val="21"/>
                <w:lang w:eastAsia="zh-Hans" w:bidi="ar-SA"/>
              </w:rPr>
              <w:t>热力发电厂</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45" w:type="dxa"/>
              <w:left w:w="45" w:type="dxa"/>
              <w:bottom w:w="45" w:type="dxa"/>
              <w:right w:w="45" w:type="dxa"/>
            </w:tcMar>
            <w:vAlign w:val="center"/>
          </w:tcPr>
          <w:p>
            <w:pPr>
              <w:pStyle w:val="5"/>
              <w:widowControl/>
              <w:spacing w:before="0" w:beforeAutospacing="0" w:after="0" w:afterAutospacing="0" w:line="360" w:lineRule="auto"/>
              <w:ind w:left="0" w:right="0"/>
              <w:rPr>
                <w:rFonts w:hint="eastAsia" w:ascii="宋体" w:hAnsi="宋体" w:cs="宋体"/>
                <w:sz w:val="21"/>
                <w:szCs w:val="21"/>
                <w:lang w:eastAsia="zh-Hans" w:bidi="ar-SA"/>
              </w:rPr>
            </w:pPr>
            <w:r>
              <w:rPr>
                <w:rFonts w:hint="eastAsia" w:ascii="宋体" w:hAnsi="宋体" w:cs="宋体"/>
                <w:sz w:val="21"/>
                <w:szCs w:val="21"/>
                <w:lang w:val="en-US" w:eastAsia="zh-Hans" w:bidi="ar-SA"/>
              </w:rPr>
              <w:t>2266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15" w:type="dxa"/>
        </w:trPr>
        <w:tc>
          <w:tcPr>
            <w:tcW w:w="0" w:type="auto"/>
            <w:vMerge w:val="continue"/>
            <w:tcBorders>
              <w:top w:val="single" w:color="333333" w:sz="6" w:space="0"/>
              <w:left w:val="single" w:color="333333" w:sz="6" w:space="0"/>
              <w:bottom w:val="single" w:color="333333" w:sz="6" w:space="0"/>
              <w:right w:val="single" w:color="333333" w:sz="6" w:space="0"/>
            </w:tcBorders>
            <w:shd w:val="clear" w:color="auto" w:fill="FFFFFF"/>
            <w:tcMar>
              <w:top w:w="45" w:type="dxa"/>
              <w:left w:w="45" w:type="dxa"/>
              <w:bottom w:w="45" w:type="dxa"/>
              <w:right w:w="45" w:type="dxa"/>
            </w:tcMar>
            <w:vAlign w:val="center"/>
          </w:tcPr>
          <w:p>
            <w:pPr>
              <w:pStyle w:val="5"/>
              <w:widowControl/>
              <w:spacing w:before="0" w:beforeAutospacing="0" w:after="0" w:afterAutospacing="0" w:line="360" w:lineRule="auto"/>
              <w:ind w:left="0" w:right="0"/>
              <w:rPr>
                <w:rFonts w:hint="eastAsia" w:ascii="宋体" w:hAnsi="宋体" w:cs="宋体"/>
                <w:sz w:val="21"/>
                <w:szCs w:val="21"/>
                <w:lang w:eastAsia="zh-Hans" w:bidi="ar-SA"/>
              </w:rPr>
            </w:pP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45" w:type="dxa"/>
              <w:left w:w="45" w:type="dxa"/>
              <w:bottom w:w="45" w:type="dxa"/>
              <w:right w:w="45" w:type="dxa"/>
            </w:tcMar>
            <w:vAlign w:val="center"/>
          </w:tcPr>
          <w:p>
            <w:pPr>
              <w:pStyle w:val="5"/>
              <w:widowControl/>
              <w:spacing w:before="0" w:beforeAutospacing="0" w:after="0" w:afterAutospacing="0" w:line="360" w:lineRule="auto"/>
              <w:ind w:left="0" w:right="0"/>
              <w:rPr>
                <w:rFonts w:hint="eastAsia" w:ascii="宋体" w:hAnsi="宋体" w:cs="宋体"/>
                <w:sz w:val="21"/>
                <w:szCs w:val="21"/>
                <w:lang w:eastAsia="zh-Hans" w:bidi="ar-SA"/>
              </w:rPr>
            </w:pPr>
            <w:r>
              <w:rPr>
                <w:rFonts w:hint="eastAsia" w:ascii="宋体" w:hAnsi="宋体" w:cs="宋体"/>
                <w:sz w:val="21"/>
                <w:szCs w:val="21"/>
                <w:lang w:eastAsia="zh-Hans" w:bidi="ar-SA"/>
              </w:rPr>
              <w:t>传热学（二）</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45" w:type="dxa"/>
              <w:left w:w="45" w:type="dxa"/>
              <w:bottom w:w="45" w:type="dxa"/>
              <w:right w:w="45" w:type="dxa"/>
            </w:tcMar>
            <w:vAlign w:val="center"/>
          </w:tcPr>
          <w:p>
            <w:pPr>
              <w:pStyle w:val="5"/>
              <w:widowControl/>
              <w:spacing w:before="0" w:beforeAutospacing="0" w:after="0" w:afterAutospacing="0" w:line="360" w:lineRule="auto"/>
              <w:ind w:left="0" w:right="0"/>
              <w:rPr>
                <w:rFonts w:hint="eastAsia" w:ascii="宋体" w:hAnsi="宋体" w:cs="宋体"/>
                <w:sz w:val="21"/>
                <w:szCs w:val="21"/>
                <w:lang w:eastAsia="zh-Hans" w:bidi="ar-SA"/>
              </w:rPr>
            </w:pPr>
            <w:r>
              <w:rPr>
                <w:rFonts w:hint="eastAsia" w:ascii="宋体" w:hAnsi="宋体" w:cs="宋体"/>
                <w:sz w:val="21"/>
                <w:szCs w:val="21"/>
                <w:lang w:val="en-US" w:eastAsia="zh-Hans" w:bidi="ar-SA"/>
              </w:rPr>
              <w:t>2261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15" w:type="dxa"/>
        </w:trPr>
        <w:tc>
          <w:tcPr>
            <w:tcW w:w="0" w:type="auto"/>
            <w:vMerge w:val="continue"/>
            <w:tcBorders>
              <w:top w:val="single" w:color="333333" w:sz="6" w:space="0"/>
              <w:left w:val="single" w:color="333333" w:sz="6" w:space="0"/>
              <w:bottom w:val="single" w:color="333333" w:sz="6" w:space="0"/>
              <w:right w:val="single" w:color="333333" w:sz="6" w:space="0"/>
            </w:tcBorders>
            <w:shd w:val="clear" w:color="auto" w:fill="FFFFFF"/>
            <w:tcMar>
              <w:top w:w="45" w:type="dxa"/>
              <w:left w:w="45" w:type="dxa"/>
              <w:bottom w:w="45" w:type="dxa"/>
              <w:right w:w="45" w:type="dxa"/>
            </w:tcMar>
            <w:vAlign w:val="center"/>
          </w:tcPr>
          <w:p>
            <w:pPr>
              <w:pStyle w:val="5"/>
              <w:widowControl/>
              <w:spacing w:before="0" w:beforeAutospacing="0" w:after="0" w:afterAutospacing="0" w:line="360" w:lineRule="auto"/>
              <w:ind w:left="0" w:right="0"/>
              <w:rPr>
                <w:rFonts w:hint="eastAsia" w:ascii="宋体" w:hAnsi="宋体" w:cs="宋体"/>
                <w:sz w:val="21"/>
                <w:szCs w:val="21"/>
                <w:lang w:eastAsia="zh-Hans" w:bidi="ar-SA"/>
              </w:rPr>
            </w:pP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45" w:type="dxa"/>
              <w:left w:w="45" w:type="dxa"/>
              <w:bottom w:w="45" w:type="dxa"/>
              <w:right w:w="45" w:type="dxa"/>
            </w:tcMar>
            <w:vAlign w:val="center"/>
          </w:tcPr>
          <w:p>
            <w:pPr>
              <w:pStyle w:val="5"/>
              <w:widowControl/>
              <w:spacing w:before="0" w:beforeAutospacing="0" w:after="0" w:afterAutospacing="0" w:line="360" w:lineRule="auto"/>
              <w:ind w:left="0" w:right="0"/>
              <w:rPr>
                <w:rFonts w:hint="eastAsia" w:ascii="宋体" w:hAnsi="宋体" w:cs="宋体"/>
                <w:sz w:val="21"/>
                <w:szCs w:val="21"/>
                <w:lang w:eastAsia="zh-Hans" w:bidi="ar-SA"/>
              </w:rPr>
            </w:pPr>
            <w:r>
              <w:rPr>
                <w:rFonts w:hint="eastAsia" w:ascii="宋体" w:hAnsi="宋体" w:cs="宋体"/>
                <w:sz w:val="21"/>
                <w:szCs w:val="21"/>
                <w:lang w:eastAsia="zh-Hans" w:bidi="ar-SA"/>
              </w:rPr>
              <w:t>流体力学及泵与风机</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45" w:type="dxa"/>
              <w:left w:w="45" w:type="dxa"/>
              <w:bottom w:w="45" w:type="dxa"/>
              <w:right w:w="45" w:type="dxa"/>
            </w:tcMar>
            <w:vAlign w:val="center"/>
          </w:tcPr>
          <w:p>
            <w:pPr>
              <w:pStyle w:val="5"/>
              <w:widowControl/>
              <w:spacing w:before="0" w:beforeAutospacing="0" w:after="0" w:afterAutospacing="0" w:line="360" w:lineRule="auto"/>
              <w:ind w:left="0" w:right="0"/>
              <w:rPr>
                <w:rFonts w:hint="eastAsia" w:ascii="宋体" w:hAnsi="宋体" w:cs="宋体"/>
                <w:sz w:val="21"/>
                <w:szCs w:val="21"/>
                <w:lang w:eastAsia="zh-Hans" w:bidi="ar-SA"/>
              </w:rPr>
            </w:pPr>
            <w:r>
              <w:rPr>
                <w:rFonts w:hint="eastAsia" w:ascii="宋体" w:hAnsi="宋体" w:cs="宋体"/>
                <w:sz w:val="21"/>
                <w:szCs w:val="21"/>
                <w:lang w:val="en-US" w:eastAsia="zh-Hans" w:bidi="ar-SA"/>
              </w:rPr>
              <w:t>2260</w:t>
            </w:r>
          </w:p>
        </w:tc>
      </w:tr>
    </w:tbl>
    <w:p>
      <w:pPr>
        <w:pStyle w:val="5"/>
        <w:widowControl/>
        <w:spacing w:before="0" w:beforeAutospacing="0" w:after="0" w:afterAutospacing="0" w:line="360" w:lineRule="auto"/>
        <w:ind w:left="0" w:right="0"/>
        <w:rPr>
          <w:rFonts w:hint="eastAsia" w:ascii="宋体" w:hAnsi="宋体" w:cs="宋体"/>
          <w:sz w:val="21"/>
          <w:szCs w:val="21"/>
          <w:lang w:eastAsia="zh-Hans" w:bidi="ar-SA"/>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zM3ZTk2NjliODk1MjQzYWY0NjI0NjEyODJhYWY1YWYifQ=="/>
  </w:docVars>
  <w:rsids>
    <w:rsidRoot w:val="11683DE5"/>
    <w:rsid w:val="00345D52"/>
    <w:rsid w:val="004848C8"/>
    <w:rsid w:val="00F34D5B"/>
    <w:rsid w:val="11683DE5"/>
    <w:rsid w:val="37515F47"/>
    <w:rsid w:val="54462B02"/>
    <w:rsid w:val="7EED7A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jc w:val="center"/>
    </w:pPr>
    <w:rPr>
      <w:rFonts w:ascii="楷体" w:hAnsi="Times New Roman" w:eastAsia="楷体" w:cs="Times New Roman"/>
      <w:kern w:val="0"/>
      <w:sz w:val="24"/>
      <w:szCs w:val="24"/>
    </w:rPr>
  </w:style>
  <w:style w:type="paragraph" w:styleId="3">
    <w:name w:val="footer"/>
    <w:basedOn w:val="1"/>
    <w:link w:val="10"/>
    <w:uiPriority w:val="0"/>
    <w:pPr>
      <w:tabs>
        <w:tab w:val="center" w:pos="4153"/>
        <w:tab w:val="right" w:pos="8306"/>
      </w:tabs>
      <w:snapToGrid w:val="0"/>
      <w:jc w:val="left"/>
    </w:pPr>
    <w:rPr>
      <w:sz w:val="18"/>
      <w:szCs w:val="18"/>
    </w:rPr>
  </w:style>
  <w:style w:type="paragraph" w:styleId="4">
    <w:name w:val="header"/>
    <w:basedOn w:val="1"/>
    <w:link w:val="9"/>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customStyle="1" w:styleId="9">
    <w:name w:val="页眉 Char"/>
    <w:basedOn w:val="7"/>
    <w:link w:val="4"/>
    <w:qFormat/>
    <w:uiPriority w:val="0"/>
    <w:rPr>
      <w:rFonts w:ascii="Calibri" w:hAnsi="Calibri" w:eastAsia="宋体" w:cs="Calibri"/>
      <w:kern w:val="2"/>
      <w:sz w:val="18"/>
      <w:szCs w:val="18"/>
    </w:rPr>
  </w:style>
  <w:style w:type="character" w:customStyle="1" w:styleId="10">
    <w:name w:val="页脚 Char"/>
    <w:basedOn w:val="7"/>
    <w:link w:val="3"/>
    <w:qFormat/>
    <w:uiPriority w:val="0"/>
    <w:rPr>
      <w:rFonts w:ascii="Calibri" w:hAnsi="Calibri" w:eastAsia="宋体" w:cs="Calibr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1197</Words>
  <Characters>1235</Characters>
  <Lines>6</Lines>
  <Paragraphs>1</Paragraphs>
  <TotalTime>0</TotalTime>
  <ScaleCrop>false</ScaleCrop>
  <LinksUpToDate>false</LinksUpToDate>
  <CharactersWithSpaces>1247</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2021-04-06T03:29:00Z</dcterms:created>
  <dc:creator>老赵</dc:creator>
  <cp:lastModifiedBy>四川自考网</cp:lastModifiedBy>
  <dcterms:modified xsi:type="dcterms:W3CDTF">2022-05-24T06:43:14Z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D1664B7E5CDC43D0965E665870AF35CD</vt:lpwstr>
  </property>
</Properties>
</file>