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附件1：</w:t>
      </w:r>
    </w:p>
    <w:p>
      <w:pPr>
        <w:pStyle w:val="2"/>
        <w:shd w:val="clear" w:color="auto" w:fill="FFFFFF"/>
        <w:adjustRightInd w:val="0"/>
        <w:snapToGrid w:val="0"/>
        <w:spacing w:before="0" w:beforeAutospacing="0" w:after="0" w:afterAutospacing="0" w:line="560" w:lineRule="exact"/>
        <w:jc w:val="center"/>
        <w:rPr>
          <w:rFonts w:hint="eastAsia" w:ascii="仿宋_GB2312" w:hAnsi="Times New Roman" w:eastAsia="仿宋_GB2312" w:cs="Times New Roman"/>
          <w:color w:val="000000"/>
          <w:kern w:val="2"/>
          <w:sz w:val="44"/>
          <w:szCs w:val="44"/>
        </w:rPr>
      </w:pPr>
      <w:bookmarkStart w:id="0" w:name="_GoBack"/>
      <w:r>
        <w:rPr>
          <w:rFonts w:hint="eastAsia" w:ascii="仿宋_GB2312" w:hAnsi="Times New Roman" w:eastAsia="仿宋_GB2312" w:cs="Times New Roman"/>
          <w:color w:val="000000"/>
          <w:kern w:val="2"/>
          <w:sz w:val="44"/>
          <w:szCs w:val="44"/>
        </w:rPr>
        <w:t>202</w:t>
      </w:r>
      <w:r>
        <w:rPr>
          <w:rFonts w:ascii="仿宋_GB2312" w:hAnsi="Times New Roman" w:eastAsia="仿宋_GB2312" w:cs="Times New Roman"/>
          <w:color w:val="000000"/>
          <w:kern w:val="2"/>
          <w:sz w:val="44"/>
          <w:szCs w:val="44"/>
        </w:rPr>
        <w:t>4</w:t>
      </w:r>
      <w:r>
        <w:rPr>
          <w:rFonts w:hint="eastAsia" w:ascii="仿宋_GB2312" w:hAnsi="Times New Roman" w:eastAsia="仿宋_GB2312" w:cs="Times New Roman"/>
          <w:color w:val="000000"/>
          <w:kern w:val="2"/>
          <w:sz w:val="44"/>
          <w:szCs w:val="44"/>
        </w:rPr>
        <w:t>年申请成人学士学位广东高校联盟外语水平考试报名流程及注意事项</w:t>
      </w:r>
    </w:p>
    <w:bookmarkEnd w:id="0"/>
    <w:p>
      <w:pPr>
        <w:pStyle w:val="2"/>
        <w:shd w:val="clear" w:color="auto" w:fill="FFFFFF"/>
        <w:adjustRightInd w:val="0"/>
        <w:snapToGrid w:val="0"/>
        <w:spacing w:before="0" w:beforeAutospacing="0" w:after="0" w:afterAutospacing="0" w:line="560" w:lineRule="exact"/>
        <w:jc w:val="both"/>
        <w:rPr>
          <w:rFonts w:hint="eastAsia" w:ascii="仿宋_GB2312" w:hAnsi="Times New Roman" w:eastAsia="仿宋_GB2312" w:cs="Times New Roman"/>
          <w:b/>
          <w:color w:val="000000"/>
          <w:kern w:val="2"/>
          <w:sz w:val="44"/>
          <w:szCs w:val="44"/>
        </w:rPr>
      </w:pPr>
    </w:p>
    <w:p>
      <w:pPr>
        <w:pStyle w:val="2"/>
        <w:shd w:val="clear" w:color="auto" w:fill="FFFFFF"/>
        <w:adjustRightInd w:val="0"/>
        <w:snapToGrid w:val="0"/>
        <w:spacing w:before="0" w:beforeAutospacing="0" w:after="0" w:afterAutospacing="0" w:line="56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一、报名流程</w:t>
      </w:r>
    </w:p>
    <w:p>
      <w:pPr>
        <w:pStyle w:val="2"/>
        <w:shd w:val="clear" w:color="auto" w:fill="FFFFFF"/>
        <w:adjustRightInd w:val="0"/>
        <w:snapToGrid w:val="0"/>
        <w:spacing w:before="0" w:beforeAutospacing="0" w:after="0" w:afterAutospacing="0" w:line="560" w:lineRule="exact"/>
        <w:ind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sz w:val="32"/>
          <w:szCs w:val="32"/>
        </w:rPr>
        <w:t>第一步：登录申请成人学士学位广东高校联盟外语水平考试报考系统</w:t>
      </w:r>
      <w:r>
        <w:rPr>
          <w:rFonts w:hint="eastAsia" w:ascii="仿宋_GB2312" w:hAnsi="Times New Roman" w:eastAsia="仿宋_GB2312"/>
          <w:sz w:val="32"/>
          <w:szCs w:val="32"/>
        </w:rPr>
        <w:t>（https://gdxwwy.edu-edu.com/）</w:t>
      </w:r>
      <w:r>
        <w:rPr>
          <w:rFonts w:hint="eastAsia" w:ascii="仿宋_GB2312" w:hAnsi="Times New Roman" w:eastAsia="仿宋_GB2312" w:cs="Times New Roman"/>
          <w:sz w:val="32"/>
          <w:szCs w:val="32"/>
        </w:rPr>
        <w:t>，阅读《报名流程》和《报考须知》，新生先点击考生注册，填写个人信息进行注册，已通过学位授予院校注册的考生可直接登录。</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第二步：考生登录系统，点击个人头像，上传二代身份证照片，并通过摄像头进行系统现场拍照作人脸验证，系统将自动核验考生信息（如审核不通过，请考生重新调整坐姿进行现场拍照）。</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第三步：系统审核通过后，点击考试报名，按系统提示选择报考科目及考试考点。</w:t>
      </w:r>
    </w:p>
    <w:p>
      <w:pPr>
        <w:adjustRightInd w:val="0"/>
        <w:snapToGrid w:val="0"/>
        <w:spacing w:line="56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olor w:val="FF0000"/>
          <w:sz w:val="32"/>
          <w:szCs w:val="32"/>
        </w:rPr>
        <w:t>（备注：以上三个步骤可通过微信公众号“广东成人学位英语”进行。）</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第四步：资格审核。经学位授予院校确认报考信息后，系统将发送信息到注册手机，提示审核结果。（备注：资格审核一般在两天内完成）</w:t>
      </w:r>
    </w:p>
    <w:p>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第五步：在线缴费。在网上缴费截止时间前，考生可登录网上报名系统，点击在线缴费，按照系统提示在线支付考试费。未经审核或审核不通过的考生，不能支付考试费。审核通过，逾期未在网上缴纳考试费的考生，报名系统将视其为放弃报考，并自动注销该生当次报考信息。缴费成功后，考生报名成功。</w:t>
      </w:r>
    </w:p>
    <w:p>
      <w:pPr>
        <w:adjustRightInd w:val="0"/>
        <w:snapToGrid w:val="0"/>
        <w:spacing w:line="560" w:lineRule="exact"/>
        <w:ind w:firstLine="640" w:firstLineChars="200"/>
        <w:rPr>
          <w:rFonts w:hint="eastAsia" w:ascii="Times New Roman" w:hAnsi="Times New Roman" w:eastAsia="仿宋_GB2312"/>
          <w:color w:val="FF0000"/>
          <w:sz w:val="32"/>
          <w:szCs w:val="32"/>
        </w:rPr>
      </w:pPr>
      <w:r>
        <w:rPr>
          <w:rFonts w:hint="eastAsia" w:ascii="Times New Roman" w:hAnsi="Times New Roman" w:eastAsia="仿宋_GB2312"/>
          <w:color w:val="FF0000"/>
          <w:sz w:val="32"/>
          <w:szCs w:val="32"/>
        </w:rPr>
        <w:t>（备注：在线缴费必须登录网上报名系统完成，微信公众号不能进行缴费。）</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成功报名的考生于</w:t>
      </w:r>
      <w:r>
        <w:rPr>
          <w:rFonts w:hint="eastAsia" w:ascii="仿宋_GB2312" w:hAnsi="Times New Roman" w:eastAsia="仿宋_GB2312"/>
          <w:color w:val="000000"/>
          <w:sz w:val="32"/>
          <w:szCs w:val="32"/>
        </w:rPr>
        <w:t>202</w:t>
      </w: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年</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月</w:t>
      </w:r>
      <w:r>
        <w:rPr>
          <w:rFonts w:ascii="仿宋_GB2312" w:hAnsi="Times New Roman" w:eastAsia="仿宋_GB2312"/>
          <w:color w:val="000000"/>
          <w:sz w:val="32"/>
          <w:szCs w:val="32"/>
        </w:rPr>
        <w:t>18</w:t>
      </w:r>
      <w:r>
        <w:rPr>
          <w:rFonts w:hint="eastAsia" w:ascii="仿宋_GB2312" w:hAnsi="Times New Roman" w:eastAsia="仿宋_GB2312"/>
          <w:color w:val="000000"/>
          <w:sz w:val="32"/>
          <w:szCs w:val="32"/>
        </w:rPr>
        <w:t>日9：00-</w:t>
      </w:r>
      <w:r>
        <w:rPr>
          <w:rFonts w:ascii="仿宋_GB2312" w:hAnsi="Times New Roman" w:eastAsia="仿宋_GB2312"/>
          <w:color w:val="000000"/>
          <w:sz w:val="32"/>
          <w:szCs w:val="32"/>
        </w:rPr>
        <w:t>23</w:t>
      </w:r>
      <w:r>
        <w:rPr>
          <w:rFonts w:hint="eastAsia" w:ascii="仿宋_GB2312" w:hAnsi="Times New Roman" w:eastAsia="仿宋_GB2312"/>
          <w:color w:val="000000"/>
          <w:sz w:val="32"/>
          <w:szCs w:val="32"/>
        </w:rPr>
        <w:t>日</w:t>
      </w:r>
      <w:r>
        <w:rPr>
          <w:rFonts w:ascii="仿宋_GB2312" w:hAnsi="Times New Roman" w:eastAsia="仿宋_GB2312"/>
          <w:color w:val="000000"/>
          <w:sz w:val="32"/>
          <w:szCs w:val="32"/>
        </w:rPr>
        <w:t>9</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5</w:t>
      </w:r>
      <w:r>
        <w:rPr>
          <w:rFonts w:hint="eastAsia" w:ascii="仿宋_GB2312" w:hAnsi="Times New Roman" w:eastAsia="仿宋_GB2312"/>
          <w:sz w:val="32"/>
          <w:szCs w:val="32"/>
        </w:rPr>
        <w:t>登录网上报名系统，根据提示下载准考证PDF文件。下载后，仔细核对个人信息，并打印准考证。</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二、注意事项</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（一）考生申请学校为学位授予院校，申请专业为学位相关专业。未经学位授予院校同意，考生不可申请其他学校，否则考试成绩可能无法使用。</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（二）学位授予院校根据考生个人信息进行资格审核，考生必须保证所填写个人信息准确无误，否则将影响审核结果。报名确认提交后，个人信息不可更改。</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（二）考生在线摄像需使用摄像头，缴费需使用手机微信或支付宝功能，请提前准备。</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（三）考生缴费成功，考点即预留考位，考生不论是否实际到考，报名费用均不予退还。</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（四）考点考位有限，额满即止，请考生抓紧时间报名。</w:t>
      </w:r>
    </w:p>
    <w:p>
      <w:pPr>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（五）考生打印准考证后，须认真阅读准考证上的注意事项，按要求做好考前准备，否则可能无法顺利进入考场。</w:t>
      </w:r>
    </w:p>
    <w:p>
      <w:pPr>
        <w:pStyle w:val="2"/>
        <w:shd w:val="clear" w:color="auto" w:fill="FFFFFF"/>
        <w:spacing w:before="0" w:beforeAutospacing="0" w:after="0" w:afterAutospacing="0" w:line="560" w:lineRule="exact"/>
        <w:rPr>
          <w:rFonts w:hint="eastAsia" w:ascii="仿宋_GB2312" w:hAnsi="仿宋" w:eastAsia="仿宋_GB2312"/>
          <w:sz w:val="32"/>
          <w:szCs w:val="32"/>
        </w:rPr>
      </w:pPr>
    </w:p>
    <w:p/>
    <w:sectPr>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zk4ZjRiMmRlYzMxMmMyNmFkMDZkZmU3ZGJiZjIifQ=="/>
  </w:docVars>
  <w:rsids>
    <w:rsidRoot w:val="0EB4684E"/>
    <w:rsid w:val="0EB4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2024-01-02T08:11:00Z</dcterms:created>
  <dc:creator>略</dc:creator>
  <cp:lastModifiedBy>略</cp:lastModifiedBy>
  <dcterms:modified xsi:type="dcterms:W3CDTF">2024-01-02T08:12:36Z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73494B593B4447759F78DC005C3442CA_11</vt:lpwstr>
  </property>
</Properties>
</file>