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/>
          <w:sz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贵州省高等教育自学考试</w:t>
      </w:r>
    </w:p>
    <w:p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金融学（专升本）（020301K）</w:t>
      </w:r>
    </w:p>
    <w:p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证券投资理论与实务（14653）考试大纲</w:t>
      </w:r>
    </w:p>
    <w:p>
      <w:pPr>
        <w:rPr>
          <w:rFonts w:ascii="Times New Roman" w:hAnsi="Times New Roman" w:eastAsia="宋体"/>
          <w:sz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</w:rPr>
        <w:t>Ⅰ 课程性质与课程目标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一、课程性质和特点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《证券投资理论与实务》是全国高等教育自学考试金融学专业必考课程，是为培养和检验自学应考者证券投资基本概念、基本内容、基本实务能力等而设置的一门课程。因此，在自学考试命题中应该充分体现本课程的性质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二、课程目标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设置《证券投资理论与实务》课程的目标是：广大自学应考者要循序渐进、联系实际地进行学习，明确证券投资的研究对象，熟悉证券投资的基本概念和基本理论，掌握证券投资的基本分析方法，了解证券组合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仿宋"/>
          <w:sz w:val="24"/>
          <w:szCs w:val="32"/>
        </w:rPr>
        <w:t>的基本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内容</w:t>
      </w:r>
      <w:r>
        <w:rPr>
          <w:rFonts w:hint="eastAsia" w:ascii="Times New Roman" w:hAnsi="Times New Roman" w:eastAsia="宋体" w:cs="仿宋"/>
          <w:sz w:val="24"/>
          <w:szCs w:val="32"/>
        </w:rPr>
        <w:t>，能够运用所学的证券投资方法和理论分析证券投资领域的实际问题，并具备一定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的</w:t>
      </w:r>
      <w:r>
        <w:rPr>
          <w:rFonts w:hint="eastAsia" w:ascii="Times New Roman" w:hAnsi="Times New Roman" w:eastAsia="宋体" w:cs="仿宋"/>
          <w:sz w:val="24"/>
          <w:szCs w:val="32"/>
        </w:rPr>
        <w:t>持续独立学习能力。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三、课程的重点内容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《证券投资理论与实务》是一门系统阐述证券投资理论框架与实务应用的课程，涉及证券投资工具、证券市场、证券投资基本分析、证券投资技术分析、证券组合管理等内容。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本课程的重点章节内容是:证券投资工具部分的债券、股票和证券投资基金，证券市场部分的金融市场体系、证券市场的基本功能和分类、证券市场价格指数，证券投资基本分析，证券投资技术分析，证券组合管理部分的证券投资风险分类、证券组合的基本类型</w:t>
      </w:r>
      <w:r>
        <w:rPr>
          <w:rFonts w:hint="eastAsia" w:ascii="Times New Roman" w:hAnsi="Times New Roman" w:cs="仿宋"/>
          <w:sz w:val="24"/>
          <w:szCs w:val="32"/>
          <w:lang w:eastAsia="zh-CN"/>
        </w:rPr>
        <w:t>、</w:t>
      </w:r>
      <w:r>
        <w:rPr>
          <w:rFonts w:hint="eastAsia" w:ascii="Times New Roman" w:hAnsi="Times New Roman" w:eastAsia="宋体" w:cs="仿宋"/>
          <w:sz w:val="24"/>
          <w:szCs w:val="32"/>
        </w:rPr>
        <w:t>证券组合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仿宋"/>
          <w:sz w:val="24"/>
          <w:szCs w:val="32"/>
        </w:rPr>
        <w:t>的基本步骤。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仿宋"/>
          <w:sz w:val="24"/>
          <w:szCs w:val="32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</w:rPr>
        <w:t>Ⅱ 课程内容与考核目标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第一章  证券投资工具</w:t>
      </w:r>
    </w:p>
    <w:p>
      <w:pPr>
        <w:spacing w:line="360" w:lineRule="auto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 xml:space="preserve"> </w:t>
      </w:r>
      <w:r>
        <w:rPr>
          <w:rFonts w:ascii="Times New Roman" w:hAnsi="Times New Roman" w:eastAsia="宋体" w:cs="仿宋"/>
          <w:sz w:val="24"/>
          <w:szCs w:val="32"/>
        </w:rPr>
        <w:t xml:space="preserve">   </w:t>
      </w:r>
      <w:r>
        <w:rPr>
          <w:rFonts w:hint="eastAsia" w:ascii="Times New Roman" w:hAnsi="Times New Roman" w:eastAsia="宋体" w:cs="仿宋"/>
          <w:sz w:val="24"/>
          <w:szCs w:val="32"/>
        </w:rPr>
        <w:t>本章介绍了债券、股票、证券投资基金、金融衍生工具等主要的证券投资工具。通过本章的学习，应掌握主要的证券投资工具的定义、类型和基本特征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等</w:t>
      </w:r>
      <w:r>
        <w:rPr>
          <w:rFonts w:hint="eastAsia" w:ascii="Times New Roman" w:hAnsi="Times New Roman" w:eastAsia="宋体" w:cs="仿宋"/>
          <w:sz w:val="24"/>
          <w:szCs w:val="32"/>
        </w:rPr>
        <w:t>；理解货币的时间价值及对投资决策的重要影响。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（一）债券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（二）股票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（三）证券投资基金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（四）金融衍生工具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1.识记：（1）风险；（2）债券；（3）现值；（4）终值；（5）股票；（6）普通股；（7）优先股；（8）证券投资基金；（9）契约型基金；（1</w:t>
      </w:r>
      <w:r>
        <w:rPr>
          <w:rFonts w:ascii="Times New Roman" w:hAnsi="Times New Roman" w:eastAsia="宋体" w:cs="仿宋"/>
          <w:sz w:val="24"/>
          <w:szCs w:val="32"/>
        </w:rPr>
        <w:t>0</w:t>
      </w:r>
      <w:r>
        <w:rPr>
          <w:rFonts w:hint="eastAsia" w:ascii="Times New Roman" w:hAnsi="Times New Roman" w:eastAsia="宋体" w:cs="仿宋"/>
          <w:sz w:val="24"/>
          <w:szCs w:val="32"/>
        </w:rPr>
        <w:t>）公司型基金；（1</w:t>
      </w:r>
      <w:r>
        <w:rPr>
          <w:rFonts w:ascii="Times New Roman" w:hAnsi="Times New Roman" w:eastAsia="宋体" w:cs="仿宋"/>
          <w:sz w:val="24"/>
          <w:szCs w:val="32"/>
        </w:rPr>
        <w:t>1</w:t>
      </w:r>
      <w:r>
        <w:rPr>
          <w:rFonts w:hint="eastAsia" w:ascii="Times New Roman" w:hAnsi="Times New Roman" w:eastAsia="宋体" w:cs="仿宋"/>
          <w:sz w:val="24"/>
          <w:szCs w:val="32"/>
        </w:rPr>
        <w:t>）封闭式基金；（1</w:t>
      </w: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）开放式基金；（1</w:t>
      </w:r>
      <w:r>
        <w:rPr>
          <w:rFonts w:ascii="Times New Roman" w:hAnsi="Times New Roman" w:eastAsia="宋体" w:cs="仿宋"/>
          <w:sz w:val="24"/>
          <w:szCs w:val="32"/>
        </w:rPr>
        <w:t>3</w:t>
      </w:r>
      <w:r>
        <w:rPr>
          <w:rFonts w:hint="eastAsia" w:ascii="Times New Roman" w:hAnsi="Times New Roman" w:eastAsia="宋体" w:cs="仿宋"/>
          <w:sz w:val="24"/>
          <w:szCs w:val="32"/>
        </w:rPr>
        <w:t>）金融衍生工具；（1</w:t>
      </w:r>
      <w:r>
        <w:rPr>
          <w:rFonts w:ascii="Times New Roman" w:hAnsi="Times New Roman" w:eastAsia="宋体" w:cs="仿宋"/>
          <w:sz w:val="24"/>
          <w:szCs w:val="32"/>
        </w:rPr>
        <w:t>4</w:t>
      </w:r>
      <w:r>
        <w:rPr>
          <w:rFonts w:hint="eastAsia" w:ascii="Times New Roman" w:hAnsi="Times New Roman" w:eastAsia="宋体" w:cs="仿宋"/>
          <w:sz w:val="24"/>
          <w:szCs w:val="32"/>
        </w:rPr>
        <w:t>）远期；（1</w:t>
      </w:r>
      <w:r>
        <w:rPr>
          <w:rFonts w:ascii="Times New Roman" w:hAnsi="Times New Roman" w:eastAsia="宋体" w:cs="仿宋"/>
          <w:sz w:val="24"/>
          <w:szCs w:val="32"/>
        </w:rPr>
        <w:t>5</w:t>
      </w:r>
      <w:r>
        <w:rPr>
          <w:rFonts w:hint="eastAsia" w:ascii="Times New Roman" w:hAnsi="Times New Roman" w:eastAsia="宋体" w:cs="仿宋"/>
          <w:sz w:val="24"/>
          <w:szCs w:val="32"/>
        </w:rPr>
        <w:t>）期货；（1</w:t>
      </w:r>
      <w:r>
        <w:rPr>
          <w:rFonts w:ascii="Times New Roman" w:hAnsi="Times New Roman" w:eastAsia="宋体" w:cs="仿宋"/>
          <w:sz w:val="24"/>
          <w:szCs w:val="32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）期权；（1</w:t>
      </w:r>
      <w:r>
        <w:rPr>
          <w:rFonts w:ascii="Times New Roman" w:hAnsi="Times New Roman" w:eastAsia="宋体" w:cs="仿宋"/>
          <w:sz w:val="24"/>
          <w:szCs w:val="32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）互换。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.领会：（1）有价证券的种类和特征；（2）债券的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主要</w:t>
      </w:r>
      <w:r>
        <w:rPr>
          <w:rFonts w:hint="eastAsia" w:ascii="Times New Roman" w:hAnsi="Times New Roman" w:eastAsia="宋体" w:cs="仿宋"/>
          <w:sz w:val="24"/>
          <w:szCs w:val="32"/>
        </w:rPr>
        <w:t>特征；（</w:t>
      </w:r>
      <w:r>
        <w:rPr>
          <w:rFonts w:ascii="Times New Roman" w:hAnsi="Times New Roman" w:eastAsia="宋体" w:cs="仿宋"/>
          <w:sz w:val="24"/>
          <w:szCs w:val="32"/>
        </w:rPr>
        <w:t>3</w:t>
      </w:r>
      <w:r>
        <w:rPr>
          <w:rFonts w:hint="eastAsia" w:ascii="Times New Roman" w:hAnsi="Times New Roman" w:eastAsia="宋体" w:cs="仿宋"/>
          <w:sz w:val="24"/>
          <w:szCs w:val="32"/>
        </w:rPr>
        <w:t>）债券的主要分类；（4）债券筹资的特点；（5）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股票的</w:t>
      </w:r>
      <w:r>
        <w:rPr>
          <w:rFonts w:hint="eastAsia" w:ascii="Times New Roman" w:hAnsi="Times New Roman" w:eastAsia="宋体" w:cs="仿宋"/>
          <w:sz w:val="24"/>
          <w:szCs w:val="32"/>
        </w:rPr>
        <w:t>特征；（6）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股票</w:t>
      </w:r>
      <w:r>
        <w:rPr>
          <w:rFonts w:hint="eastAsia" w:ascii="Times New Roman" w:hAnsi="Times New Roman" w:eastAsia="宋体" w:cs="仿宋"/>
          <w:sz w:val="24"/>
          <w:szCs w:val="32"/>
        </w:rPr>
        <w:t>的主要种类；（</w:t>
      </w:r>
      <w:r>
        <w:rPr>
          <w:rFonts w:ascii="Times New Roman" w:hAnsi="Times New Roman" w:eastAsia="宋体" w:cs="仿宋"/>
          <w:sz w:val="24"/>
          <w:szCs w:val="32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）普通股股东享有的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基本</w:t>
      </w:r>
      <w:r>
        <w:rPr>
          <w:rFonts w:hint="eastAsia" w:ascii="Times New Roman" w:hAnsi="Times New Roman" w:eastAsia="宋体" w:cs="仿宋"/>
          <w:sz w:val="24"/>
          <w:szCs w:val="32"/>
        </w:rPr>
        <w:t>权利；（</w:t>
      </w:r>
      <w:r>
        <w:rPr>
          <w:rFonts w:ascii="Times New Roman" w:hAnsi="Times New Roman" w:eastAsia="宋体" w:cs="仿宋"/>
          <w:sz w:val="24"/>
          <w:szCs w:val="32"/>
        </w:rPr>
        <w:t>8</w:t>
      </w:r>
      <w:r>
        <w:rPr>
          <w:rFonts w:hint="eastAsia" w:ascii="Times New Roman" w:hAnsi="Times New Roman" w:eastAsia="宋体" w:cs="仿宋"/>
          <w:sz w:val="24"/>
          <w:szCs w:val="32"/>
        </w:rPr>
        <w:t>）优先股股东的主要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权利</w:t>
      </w:r>
      <w:r>
        <w:rPr>
          <w:rFonts w:hint="eastAsia" w:ascii="Times New Roman" w:hAnsi="Times New Roman" w:eastAsia="宋体" w:cs="仿宋"/>
          <w:sz w:val="24"/>
          <w:szCs w:val="32"/>
        </w:rPr>
        <w:t>；（</w:t>
      </w:r>
      <w:r>
        <w:rPr>
          <w:rFonts w:ascii="Times New Roman" w:hAnsi="Times New Roman" w:eastAsia="宋体" w:cs="仿宋"/>
          <w:sz w:val="24"/>
          <w:szCs w:val="32"/>
        </w:rPr>
        <w:t>9</w:t>
      </w:r>
      <w:r>
        <w:rPr>
          <w:rFonts w:hint="eastAsia" w:ascii="Times New Roman" w:hAnsi="Times New Roman" w:eastAsia="宋体" w:cs="仿宋"/>
          <w:sz w:val="24"/>
          <w:szCs w:val="32"/>
        </w:rPr>
        <w:t>）优先股与普通股的主要区别；（</w:t>
      </w:r>
      <w:r>
        <w:rPr>
          <w:rFonts w:ascii="Times New Roman" w:hAnsi="Times New Roman" w:eastAsia="宋体" w:cs="仿宋"/>
          <w:sz w:val="24"/>
          <w:szCs w:val="32"/>
        </w:rPr>
        <w:t>10</w:t>
      </w:r>
      <w:r>
        <w:rPr>
          <w:rFonts w:hint="eastAsia" w:ascii="Times New Roman" w:hAnsi="Times New Roman" w:eastAsia="宋体" w:cs="仿宋"/>
          <w:sz w:val="24"/>
          <w:szCs w:val="32"/>
        </w:rPr>
        <w:t>）证券投资基金的主要特点；（</w:t>
      </w:r>
      <w:r>
        <w:rPr>
          <w:rFonts w:ascii="Times New Roman" w:hAnsi="Times New Roman" w:eastAsia="宋体" w:cs="仿宋"/>
          <w:sz w:val="24"/>
          <w:szCs w:val="32"/>
        </w:rPr>
        <w:t>11</w:t>
      </w:r>
      <w:r>
        <w:rPr>
          <w:rFonts w:hint="eastAsia" w:ascii="Times New Roman" w:hAnsi="Times New Roman" w:eastAsia="宋体" w:cs="仿宋"/>
          <w:sz w:val="24"/>
          <w:szCs w:val="32"/>
        </w:rPr>
        <w:t>）证券投资基金的主要分类；（</w:t>
      </w:r>
      <w:r>
        <w:rPr>
          <w:rFonts w:ascii="Times New Roman" w:hAnsi="Times New Roman" w:eastAsia="宋体" w:cs="仿宋"/>
          <w:sz w:val="24"/>
          <w:szCs w:val="32"/>
        </w:rPr>
        <w:t>12</w:t>
      </w:r>
      <w:r>
        <w:rPr>
          <w:rFonts w:hint="eastAsia" w:ascii="Times New Roman" w:hAnsi="Times New Roman" w:eastAsia="宋体" w:cs="仿宋"/>
          <w:sz w:val="24"/>
          <w:szCs w:val="32"/>
        </w:rPr>
        <w:t>）金融衍生工具的主要类型。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3.应用：</w:t>
      </w:r>
      <w:r>
        <w:rPr>
          <w:rFonts w:hint="eastAsia" w:ascii="Times New Roman" w:hAnsi="Times New Roman" w:eastAsia="宋体" w:cs="仿宋"/>
          <w:sz w:val="24"/>
          <w:szCs w:val="32"/>
        </w:rPr>
        <w:t>（1）货币的时间价值对投资决策的影响；（</w:t>
      </w: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）证券投资基金与股票、债券的异同。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第二章  证券市场</w:t>
      </w:r>
    </w:p>
    <w:p>
      <w:pPr>
        <w:spacing w:line="360" w:lineRule="auto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 xml:space="preserve"> </w:t>
      </w:r>
      <w:r>
        <w:rPr>
          <w:rFonts w:ascii="Times New Roman" w:hAnsi="Times New Roman" w:eastAsia="宋体" w:cs="仿宋"/>
          <w:sz w:val="24"/>
          <w:szCs w:val="32"/>
        </w:rPr>
        <w:t xml:space="preserve">   </w:t>
      </w:r>
      <w:r>
        <w:rPr>
          <w:rFonts w:hint="eastAsia" w:ascii="Times New Roman" w:hAnsi="Times New Roman" w:eastAsia="宋体" w:cs="仿宋"/>
          <w:sz w:val="24"/>
          <w:szCs w:val="32"/>
        </w:rPr>
        <w:t>本章重点阐述证券市场的运行机制。通过本章的学习，应了解金融市场体系、证券市场的微观主体、主要的证券市场价格指数，明确证券市场的主要分类，理解证券市场的基本功能，掌握金融资产的主要分类。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（一）金融市场体系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（二）证券市场的基本功能和分类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（三）证券市场的微观主体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（四）证券市场价格指数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（五）证券市场监管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1.识记：（1）实物资产；（2）金融资产；（3）一级市场；（</w:t>
      </w:r>
      <w:r>
        <w:rPr>
          <w:rFonts w:ascii="Times New Roman" w:hAnsi="Times New Roman" w:eastAsia="宋体" w:cs="仿宋"/>
          <w:sz w:val="24"/>
          <w:szCs w:val="32"/>
        </w:rPr>
        <w:t>4</w:t>
      </w:r>
      <w:r>
        <w:rPr>
          <w:rFonts w:hint="eastAsia" w:ascii="Times New Roman" w:hAnsi="Times New Roman" w:eastAsia="宋体" w:cs="仿宋"/>
          <w:sz w:val="24"/>
          <w:szCs w:val="32"/>
        </w:rPr>
        <w:t>）二级市场；（</w:t>
      </w:r>
      <w:r>
        <w:rPr>
          <w:rFonts w:ascii="Times New Roman" w:hAnsi="Times New Roman" w:eastAsia="宋体" w:cs="仿宋"/>
          <w:sz w:val="24"/>
          <w:szCs w:val="32"/>
        </w:rPr>
        <w:t>5</w:t>
      </w:r>
      <w:r>
        <w:rPr>
          <w:rFonts w:hint="eastAsia" w:ascii="Times New Roman" w:hAnsi="Times New Roman" w:eastAsia="宋体" w:cs="仿宋"/>
          <w:sz w:val="24"/>
          <w:szCs w:val="32"/>
        </w:rPr>
        <w:t>）证券交易所；（</w:t>
      </w:r>
      <w:r>
        <w:rPr>
          <w:rFonts w:ascii="Times New Roman" w:hAnsi="Times New Roman" w:eastAsia="宋体" w:cs="仿宋"/>
          <w:sz w:val="24"/>
          <w:szCs w:val="32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）场外交易市场；（</w:t>
      </w:r>
      <w:r>
        <w:rPr>
          <w:rFonts w:ascii="Times New Roman" w:hAnsi="Times New Roman" w:eastAsia="宋体" w:cs="仿宋"/>
          <w:sz w:val="24"/>
          <w:szCs w:val="32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）股票价格指数；（</w:t>
      </w:r>
      <w:r>
        <w:rPr>
          <w:rFonts w:ascii="Times New Roman" w:hAnsi="Times New Roman" w:eastAsia="宋体" w:cs="仿宋"/>
          <w:sz w:val="24"/>
          <w:szCs w:val="32"/>
        </w:rPr>
        <w:t>8</w:t>
      </w:r>
      <w:r>
        <w:rPr>
          <w:rFonts w:hint="eastAsia" w:ascii="Times New Roman" w:hAnsi="Times New Roman" w:eastAsia="宋体" w:cs="仿宋"/>
          <w:sz w:val="24"/>
          <w:szCs w:val="32"/>
        </w:rPr>
        <w:t>）上证综合指数；（</w:t>
      </w:r>
      <w:r>
        <w:rPr>
          <w:rFonts w:ascii="Times New Roman" w:hAnsi="Times New Roman" w:eastAsia="宋体" w:cs="仿宋"/>
          <w:sz w:val="24"/>
          <w:szCs w:val="32"/>
        </w:rPr>
        <w:t>9</w:t>
      </w:r>
      <w:r>
        <w:rPr>
          <w:rFonts w:hint="eastAsia" w:ascii="Times New Roman" w:hAnsi="Times New Roman" w:eastAsia="宋体" w:cs="仿宋"/>
          <w:sz w:val="24"/>
          <w:szCs w:val="32"/>
        </w:rPr>
        <w:t>）深圳成分指数；（1</w:t>
      </w:r>
      <w:r>
        <w:rPr>
          <w:rFonts w:ascii="Times New Roman" w:hAnsi="Times New Roman" w:eastAsia="宋体" w:cs="仿宋"/>
          <w:sz w:val="24"/>
          <w:szCs w:val="32"/>
        </w:rPr>
        <w:t>0</w:t>
      </w:r>
      <w:r>
        <w:rPr>
          <w:rFonts w:hint="eastAsia" w:ascii="Times New Roman" w:hAnsi="Times New Roman" w:eastAsia="宋体" w:cs="仿宋"/>
          <w:sz w:val="24"/>
          <w:szCs w:val="32"/>
        </w:rPr>
        <w:t>）沪深3</w:t>
      </w:r>
      <w:r>
        <w:rPr>
          <w:rFonts w:ascii="Times New Roman" w:hAnsi="Times New Roman" w:eastAsia="宋体" w:cs="仿宋"/>
          <w:sz w:val="24"/>
          <w:szCs w:val="32"/>
        </w:rPr>
        <w:t>00</w:t>
      </w:r>
      <w:r>
        <w:rPr>
          <w:rFonts w:hint="eastAsia" w:ascii="Times New Roman" w:hAnsi="Times New Roman" w:eastAsia="宋体" w:cs="仿宋"/>
          <w:sz w:val="24"/>
          <w:szCs w:val="32"/>
        </w:rPr>
        <w:t>指数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；（11）上证180指数</w:t>
      </w:r>
      <w:r>
        <w:rPr>
          <w:rFonts w:hint="eastAsia" w:ascii="Times New Roman" w:hAnsi="Times New Roman" w:eastAsia="宋体" w:cs="仿宋"/>
          <w:sz w:val="24"/>
          <w:szCs w:val="32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.领会：（1）金融资产主要分为固定收益证券、权益证券和衍生产品；（2）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证券发行人；（3）证券投资人；（4）证券市场中介机构；</w:t>
      </w:r>
      <w:r>
        <w:rPr>
          <w:rFonts w:hint="eastAsia" w:ascii="Times New Roman" w:hAnsi="Times New Roman" w:eastAsia="宋体" w:cs="仿宋"/>
          <w:sz w:val="24"/>
          <w:szCs w:val="32"/>
        </w:rPr>
        <w:t>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</w:rPr>
        <w:t>）自律性组织；（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）证券监管机构。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3.应用：</w:t>
      </w:r>
      <w:r>
        <w:rPr>
          <w:rFonts w:hint="eastAsia" w:ascii="Times New Roman" w:hAnsi="Times New Roman" w:eastAsia="宋体" w:cs="仿宋"/>
          <w:sz w:val="24"/>
          <w:szCs w:val="32"/>
        </w:rPr>
        <w:t>（1）金融市场体系主要涵盖货币市场、资本市场、外汇市场、黄金市场等；（2）证券市场的基本功能。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第三章  证券投资基本分析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本章介绍证券投资基本分析方法，包括宏观经济分析、产业分析及公司分析。通过本章的学习，应了解如何进行上市公司价值分析，上市公司估值常用的绝对估值法和相对估值法；理解汇率政策对证券市场的影响，波特的五种竞争力模型；掌握产业生命周期阶段及特征，产业的市场结构分析；熟悉宏观经济因素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及变动</w:t>
      </w:r>
      <w:r>
        <w:rPr>
          <w:rFonts w:hint="eastAsia" w:ascii="Times New Roman" w:hAnsi="Times New Roman" w:eastAsia="宋体" w:cs="仿宋"/>
          <w:sz w:val="24"/>
          <w:szCs w:val="32"/>
        </w:rPr>
        <w:t>对证券市场的影响，财政政策和货币政策对证券市场的影响，产业政策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及相关因素</w:t>
      </w:r>
      <w:r>
        <w:rPr>
          <w:rFonts w:hint="eastAsia" w:ascii="Times New Roman" w:hAnsi="Times New Roman" w:eastAsia="宋体" w:cs="仿宋"/>
          <w:sz w:val="24"/>
          <w:szCs w:val="32"/>
        </w:rPr>
        <w:t>对证券市场的影响，通过财务数据分析公司偿债能力、营运能力、盈利能力。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（一）宏观经济分析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（二）产业分析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（三）公司分析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1.识记：（1）国内生产总值；（2）居民消费价格指数；（3）货币政策；（4）财政政策；（5）汇率政策；（6）成长型产业；（7）周期型产业；（8）防御型产业；（</w:t>
      </w:r>
      <w:r>
        <w:rPr>
          <w:rFonts w:ascii="Times New Roman" w:hAnsi="Times New Roman" w:eastAsia="宋体" w:cs="仿宋"/>
          <w:sz w:val="24"/>
          <w:szCs w:val="32"/>
        </w:rPr>
        <w:t>9</w:t>
      </w:r>
      <w:r>
        <w:rPr>
          <w:rFonts w:hint="eastAsia" w:ascii="Times New Roman" w:hAnsi="Times New Roman" w:eastAsia="宋体" w:cs="仿宋"/>
          <w:sz w:val="24"/>
          <w:szCs w:val="32"/>
        </w:rPr>
        <w:t>）产业生命周期；（1</w:t>
      </w:r>
      <w:r>
        <w:rPr>
          <w:rFonts w:ascii="Times New Roman" w:hAnsi="Times New Roman" w:eastAsia="宋体" w:cs="仿宋"/>
          <w:sz w:val="24"/>
          <w:szCs w:val="32"/>
        </w:rPr>
        <w:t>0</w:t>
      </w:r>
      <w:r>
        <w:rPr>
          <w:rFonts w:hint="eastAsia" w:ascii="Times New Roman" w:hAnsi="Times New Roman" w:eastAsia="宋体" w:cs="仿宋"/>
          <w:sz w:val="24"/>
          <w:szCs w:val="32"/>
        </w:rPr>
        <w:t>）完全竞争；（1</w:t>
      </w:r>
      <w:r>
        <w:rPr>
          <w:rFonts w:ascii="Times New Roman" w:hAnsi="Times New Roman" w:eastAsia="宋体" w:cs="仿宋"/>
          <w:sz w:val="24"/>
          <w:szCs w:val="32"/>
        </w:rPr>
        <w:t>1</w:t>
      </w:r>
      <w:r>
        <w:rPr>
          <w:rFonts w:hint="eastAsia" w:ascii="Times New Roman" w:hAnsi="Times New Roman" w:eastAsia="宋体" w:cs="仿宋"/>
          <w:sz w:val="24"/>
          <w:szCs w:val="32"/>
        </w:rPr>
        <w:t>）不完全竞争；（1</w:t>
      </w: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）寡头垄断；（1</w:t>
      </w:r>
      <w:r>
        <w:rPr>
          <w:rFonts w:ascii="Times New Roman" w:hAnsi="Times New Roman" w:eastAsia="宋体" w:cs="仿宋"/>
          <w:sz w:val="24"/>
          <w:szCs w:val="32"/>
        </w:rPr>
        <w:t>3</w:t>
      </w:r>
      <w:r>
        <w:rPr>
          <w:rFonts w:hint="eastAsia" w:ascii="Times New Roman" w:hAnsi="Times New Roman" w:eastAsia="宋体" w:cs="仿宋"/>
          <w:sz w:val="24"/>
          <w:szCs w:val="32"/>
        </w:rPr>
        <w:t>）完全垄断；（1</w:t>
      </w:r>
      <w:r>
        <w:rPr>
          <w:rFonts w:ascii="Times New Roman" w:hAnsi="Times New Roman" w:eastAsia="宋体" w:cs="仿宋"/>
          <w:sz w:val="24"/>
          <w:szCs w:val="32"/>
        </w:rPr>
        <w:t>4</w:t>
      </w:r>
      <w:r>
        <w:rPr>
          <w:rFonts w:hint="eastAsia" w:ascii="Times New Roman" w:hAnsi="Times New Roman" w:eastAsia="宋体" w:cs="仿宋"/>
          <w:sz w:val="24"/>
          <w:szCs w:val="32"/>
        </w:rPr>
        <w:t>）资产负债率；（1</w:t>
      </w:r>
      <w:r>
        <w:rPr>
          <w:rFonts w:ascii="Times New Roman" w:hAnsi="Times New Roman" w:eastAsia="宋体" w:cs="仿宋"/>
          <w:sz w:val="24"/>
          <w:szCs w:val="32"/>
        </w:rPr>
        <w:t>5</w:t>
      </w:r>
      <w:r>
        <w:rPr>
          <w:rFonts w:hint="eastAsia" w:ascii="Times New Roman" w:hAnsi="Times New Roman" w:eastAsia="宋体" w:cs="仿宋"/>
          <w:sz w:val="24"/>
          <w:szCs w:val="32"/>
        </w:rPr>
        <w:t>）流动比率；（1</w:t>
      </w:r>
      <w:r>
        <w:rPr>
          <w:rFonts w:ascii="Times New Roman" w:hAnsi="Times New Roman" w:eastAsia="宋体" w:cs="仿宋"/>
          <w:sz w:val="24"/>
          <w:szCs w:val="32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）速动比率；（1</w:t>
      </w:r>
      <w:r>
        <w:rPr>
          <w:rFonts w:ascii="Times New Roman" w:hAnsi="Times New Roman" w:eastAsia="宋体" w:cs="仿宋"/>
          <w:sz w:val="24"/>
          <w:szCs w:val="32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）利息保障倍数；（1</w:t>
      </w:r>
      <w:r>
        <w:rPr>
          <w:rFonts w:ascii="Times New Roman" w:hAnsi="Times New Roman" w:eastAsia="宋体" w:cs="仿宋"/>
          <w:sz w:val="24"/>
          <w:szCs w:val="32"/>
        </w:rPr>
        <w:t>8</w:t>
      </w:r>
      <w:r>
        <w:rPr>
          <w:rFonts w:hint="eastAsia" w:ascii="Times New Roman" w:hAnsi="Times New Roman" w:eastAsia="宋体" w:cs="仿宋"/>
          <w:sz w:val="24"/>
          <w:szCs w:val="32"/>
        </w:rPr>
        <w:t>）存货周转率；（1</w:t>
      </w:r>
      <w:r>
        <w:rPr>
          <w:rFonts w:ascii="Times New Roman" w:hAnsi="Times New Roman" w:eastAsia="宋体" w:cs="仿宋"/>
          <w:sz w:val="24"/>
          <w:szCs w:val="32"/>
        </w:rPr>
        <w:t>9</w:t>
      </w:r>
      <w:r>
        <w:rPr>
          <w:rFonts w:hint="eastAsia" w:ascii="Times New Roman" w:hAnsi="Times New Roman" w:eastAsia="宋体" w:cs="仿宋"/>
          <w:sz w:val="24"/>
          <w:szCs w:val="32"/>
        </w:rPr>
        <w:t>）应收账款周转率；（2</w:t>
      </w:r>
      <w:r>
        <w:rPr>
          <w:rFonts w:ascii="Times New Roman" w:hAnsi="Times New Roman" w:eastAsia="宋体" w:cs="仿宋"/>
          <w:sz w:val="24"/>
          <w:szCs w:val="32"/>
        </w:rPr>
        <w:t>0</w:t>
      </w:r>
      <w:r>
        <w:rPr>
          <w:rFonts w:hint="eastAsia" w:ascii="Times New Roman" w:hAnsi="Times New Roman" w:eastAsia="宋体" w:cs="仿宋"/>
          <w:sz w:val="24"/>
          <w:szCs w:val="32"/>
        </w:rPr>
        <w:t>）总资产周转率；（2</w:t>
      </w:r>
      <w:r>
        <w:rPr>
          <w:rFonts w:ascii="Times New Roman" w:hAnsi="Times New Roman" w:eastAsia="宋体" w:cs="仿宋"/>
          <w:sz w:val="24"/>
          <w:szCs w:val="32"/>
        </w:rPr>
        <w:t>1</w:t>
      </w:r>
      <w:r>
        <w:rPr>
          <w:rFonts w:hint="eastAsia" w:ascii="Times New Roman" w:hAnsi="Times New Roman" w:eastAsia="宋体" w:cs="仿宋"/>
          <w:sz w:val="24"/>
          <w:szCs w:val="32"/>
        </w:rPr>
        <w:t>）销售净利率；（2</w:t>
      </w: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）净资产收益率；（</w:t>
      </w:r>
      <w:r>
        <w:rPr>
          <w:rFonts w:ascii="Times New Roman" w:hAnsi="Times New Roman" w:eastAsia="宋体" w:cs="仿宋"/>
          <w:sz w:val="24"/>
          <w:szCs w:val="32"/>
        </w:rPr>
        <w:t>23</w:t>
      </w:r>
      <w:r>
        <w:rPr>
          <w:rFonts w:hint="eastAsia" w:ascii="Times New Roman" w:hAnsi="Times New Roman" w:eastAsia="宋体" w:cs="仿宋"/>
          <w:sz w:val="24"/>
          <w:szCs w:val="32"/>
        </w:rPr>
        <w:t>）财务杠杆；（</w:t>
      </w:r>
      <w:r>
        <w:rPr>
          <w:rFonts w:ascii="Times New Roman" w:hAnsi="Times New Roman" w:eastAsia="宋体" w:cs="仿宋"/>
          <w:sz w:val="24"/>
          <w:szCs w:val="32"/>
        </w:rPr>
        <w:t>24</w:t>
      </w:r>
      <w:r>
        <w:rPr>
          <w:rFonts w:hint="eastAsia" w:ascii="Times New Roman" w:hAnsi="Times New Roman" w:eastAsia="宋体" w:cs="仿宋"/>
          <w:sz w:val="24"/>
          <w:szCs w:val="32"/>
        </w:rPr>
        <w:t>）杜邦分解；（</w:t>
      </w:r>
      <w:r>
        <w:rPr>
          <w:rFonts w:ascii="Times New Roman" w:hAnsi="Times New Roman" w:eastAsia="宋体" w:cs="仿宋"/>
          <w:sz w:val="24"/>
          <w:szCs w:val="32"/>
        </w:rPr>
        <w:t>25</w:t>
      </w:r>
      <w:r>
        <w:rPr>
          <w:rFonts w:hint="eastAsia" w:ascii="Times New Roman" w:hAnsi="Times New Roman" w:eastAsia="宋体" w:cs="仿宋"/>
          <w:sz w:val="24"/>
          <w:szCs w:val="32"/>
        </w:rPr>
        <w:t>）绝对估值法；（2</w:t>
      </w:r>
      <w:r>
        <w:rPr>
          <w:rFonts w:ascii="Times New Roman" w:hAnsi="Times New Roman" w:eastAsia="宋体" w:cs="仿宋"/>
          <w:sz w:val="24"/>
          <w:szCs w:val="32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）相对估值法；（2</w:t>
      </w:r>
      <w:r>
        <w:rPr>
          <w:rFonts w:ascii="Times New Roman" w:hAnsi="Times New Roman" w:eastAsia="宋体" w:cs="仿宋"/>
          <w:sz w:val="24"/>
          <w:szCs w:val="32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）市盈率；（2</w:t>
      </w:r>
      <w:r>
        <w:rPr>
          <w:rFonts w:ascii="Times New Roman" w:hAnsi="Times New Roman" w:eastAsia="宋体" w:cs="仿宋"/>
          <w:sz w:val="24"/>
          <w:szCs w:val="32"/>
        </w:rPr>
        <w:t>8</w:t>
      </w:r>
      <w:r>
        <w:rPr>
          <w:rFonts w:hint="eastAsia" w:ascii="Times New Roman" w:hAnsi="Times New Roman" w:eastAsia="宋体" w:cs="仿宋"/>
          <w:sz w:val="24"/>
          <w:szCs w:val="32"/>
        </w:rPr>
        <w:t>）市净率。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.领会：（1）产业生命周期各阶段的主要特征；（2）产业的市场结构分类；（3）波特的五种竞争力模型；（4）杜邦分析法评价企业绩效；（5）SWOT矩阵分析公司在产业中的竞争地位；（6）对上市公司估值的主要方法；（7）绝对估值法和相对估值法的特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3.应用：</w:t>
      </w:r>
      <w:r>
        <w:rPr>
          <w:rFonts w:hint="eastAsia" w:ascii="Times New Roman" w:hAnsi="Times New Roman" w:eastAsia="宋体" w:cs="仿宋"/>
          <w:sz w:val="24"/>
          <w:szCs w:val="32"/>
        </w:rPr>
        <w:t>（1）宏观经济因素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及变动</w:t>
      </w:r>
      <w:r>
        <w:rPr>
          <w:rFonts w:hint="eastAsia" w:ascii="Times New Roman" w:hAnsi="Times New Roman" w:eastAsia="宋体" w:cs="仿宋"/>
          <w:sz w:val="24"/>
          <w:szCs w:val="32"/>
        </w:rPr>
        <w:t>对证券市场的影响；（</w:t>
      </w: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）财政政策对证券市场的影响；（</w:t>
      </w:r>
      <w:r>
        <w:rPr>
          <w:rFonts w:ascii="Times New Roman" w:hAnsi="Times New Roman" w:eastAsia="宋体" w:cs="仿宋"/>
          <w:sz w:val="24"/>
          <w:szCs w:val="32"/>
        </w:rPr>
        <w:t>3</w:t>
      </w:r>
      <w:r>
        <w:rPr>
          <w:rFonts w:hint="eastAsia" w:ascii="Times New Roman" w:hAnsi="Times New Roman" w:eastAsia="宋体" w:cs="仿宋"/>
          <w:sz w:val="24"/>
          <w:szCs w:val="32"/>
        </w:rPr>
        <w:t>）货币政策对证券市场的影响；（4）产业政策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及相关因素</w:t>
      </w:r>
      <w:r>
        <w:rPr>
          <w:rFonts w:hint="eastAsia" w:ascii="Times New Roman" w:hAnsi="Times New Roman" w:eastAsia="宋体" w:cs="仿宋"/>
          <w:sz w:val="24"/>
          <w:szCs w:val="32"/>
        </w:rPr>
        <w:t>对证券市场的影响；（5）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汇率政策对证券市场的影响；</w:t>
      </w:r>
      <w:r>
        <w:rPr>
          <w:rFonts w:hint="eastAsia" w:ascii="Times New Roman" w:hAnsi="Times New Roman" w:cs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cs="仿宋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 w:cs="仿宋"/>
          <w:sz w:val="24"/>
          <w:szCs w:val="32"/>
        </w:rPr>
        <w:t>通过财务数据分析公司偿债能力、营运能力、盈利能力。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第四章  证券投资技术分析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本章介绍常见的证券投资技术分析方法。通过本章的学习，应了解技术分析的三大假设；理解市场行为的四个要素，支撑线和压力线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</w:t>
      </w:r>
      <w:r>
        <w:rPr>
          <w:rFonts w:hint="eastAsia" w:ascii="Times New Roman" w:hAnsi="Times New Roman" w:eastAsia="宋体" w:cs="仿宋"/>
          <w:sz w:val="24"/>
          <w:szCs w:val="32"/>
        </w:rPr>
        <w:t>相互转换，轨道线的作用，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常用的</w:t>
      </w:r>
      <w:r>
        <w:rPr>
          <w:rFonts w:hint="eastAsia" w:ascii="Times New Roman" w:hAnsi="Times New Roman" w:eastAsia="宋体" w:cs="仿宋"/>
          <w:sz w:val="24"/>
          <w:szCs w:val="32"/>
        </w:rPr>
        <w:t>技术指标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</w:t>
      </w:r>
      <w:r>
        <w:rPr>
          <w:rFonts w:hint="eastAsia" w:ascii="Times New Roman" w:hAnsi="Times New Roman" w:eastAsia="宋体" w:cs="仿宋"/>
          <w:sz w:val="24"/>
          <w:szCs w:val="32"/>
        </w:rPr>
        <w:t>应用法则，MACD的应用；掌握单根K线的基本形状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及含义</w:t>
      </w:r>
      <w:r>
        <w:rPr>
          <w:rFonts w:hint="eastAsia" w:ascii="Times New Roman" w:hAnsi="Times New Roman" w:eastAsia="宋体" w:cs="仿宋"/>
          <w:sz w:val="24"/>
          <w:szCs w:val="32"/>
        </w:rPr>
        <w:t>，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常用的K线组合形态，</w:t>
      </w:r>
      <w:r>
        <w:rPr>
          <w:rFonts w:hint="eastAsia" w:ascii="Times New Roman" w:hAnsi="Times New Roman" w:eastAsia="宋体" w:cs="仿宋"/>
          <w:sz w:val="24"/>
          <w:szCs w:val="32"/>
        </w:rPr>
        <w:t>趋势线的作用，常用的反转形态，常用的整理形态；熟悉支撑线和压力线的作用，移动平均线的特点和作用。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（一）技术分析的三大假设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（二）市场行为四个要素：价、量、时、空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（三）K线理论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（四）支撑压力理论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（五）形态理论</w:t>
      </w:r>
    </w:p>
    <w:p>
      <w:pPr>
        <w:spacing w:line="360" w:lineRule="auto"/>
        <w:ind w:firstLine="645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（六）技术指标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1.识记：（1）技术分析三大假设；（2）K线；（3）开盘价；（4）收盘价；（5）上影线；（6）下影线；（7）支撑线；（8）压力线；（9）轨道线；（10）双重顶（底）；（11）头肩顶（底）；（12）三角形形态；（13）矩形形态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.领会：（1）趋势的三种方向；（2）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K线的含义；（3）K线组合形态；（4）</w:t>
      </w:r>
      <w:r>
        <w:rPr>
          <w:rFonts w:hint="eastAsia" w:ascii="Times New Roman" w:hAnsi="Times New Roman" w:eastAsia="宋体" w:cs="仿宋"/>
          <w:sz w:val="24"/>
          <w:szCs w:val="32"/>
        </w:rPr>
        <w:t>支撑线的作用；（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仿宋"/>
          <w:sz w:val="24"/>
          <w:szCs w:val="32"/>
        </w:rPr>
        <w:t>）压力线的作用；（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仿宋"/>
          <w:sz w:val="24"/>
          <w:szCs w:val="32"/>
        </w:rPr>
        <w:t>）趋势线的作用；（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仿宋"/>
          <w:sz w:val="24"/>
          <w:szCs w:val="32"/>
        </w:rPr>
        <w:t>）黄金分割线的作用；（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仿宋"/>
          <w:sz w:val="24"/>
          <w:szCs w:val="32"/>
        </w:rPr>
        <w:t>）反转形态；（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仿宋"/>
          <w:sz w:val="24"/>
          <w:szCs w:val="32"/>
        </w:rPr>
        <w:t>）整理形态；（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10</w:t>
      </w:r>
      <w:r>
        <w:rPr>
          <w:rFonts w:hint="eastAsia" w:ascii="Times New Roman" w:hAnsi="Times New Roman" w:eastAsia="宋体" w:cs="仿宋"/>
          <w:sz w:val="24"/>
          <w:szCs w:val="32"/>
        </w:rPr>
        <w:t>）技术指标的应用法则；（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11</w:t>
      </w:r>
      <w:r>
        <w:rPr>
          <w:rFonts w:hint="eastAsia" w:ascii="Times New Roman" w:hAnsi="Times New Roman" w:eastAsia="宋体" w:cs="仿宋"/>
          <w:sz w:val="24"/>
          <w:szCs w:val="32"/>
        </w:rPr>
        <w:t>）移动平均线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的</w:t>
      </w:r>
      <w:r>
        <w:rPr>
          <w:rFonts w:hint="eastAsia" w:ascii="Times New Roman" w:hAnsi="Times New Roman" w:eastAsia="宋体" w:cs="仿宋"/>
          <w:sz w:val="24"/>
          <w:szCs w:val="32"/>
        </w:rPr>
        <w:t>特点和作用；（1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）MACD的应用。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3.应用：</w:t>
      </w:r>
      <w:r>
        <w:rPr>
          <w:rFonts w:hint="eastAsia" w:ascii="Times New Roman" w:hAnsi="Times New Roman" w:eastAsia="宋体" w:cs="仿宋"/>
          <w:sz w:val="24"/>
          <w:szCs w:val="32"/>
        </w:rPr>
        <w:t>（1）通过市场行为四个要素对证券市场进行分析；（2）支撑线和压力线的相互转化；（3）</w:t>
      </w:r>
      <w:bookmarkStart w:id="0" w:name="_Hlk155531990"/>
      <w:r>
        <w:rPr>
          <w:rFonts w:hint="eastAsia" w:ascii="Times New Roman" w:hAnsi="Times New Roman" w:eastAsia="宋体" w:cs="仿宋"/>
          <w:sz w:val="24"/>
          <w:szCs w:val="32"/>
        </w:rPr>
        <w:t>格兰维尔移动平均线法则</w:t>
      </w:r>
      <w:bookmarkEnd w:id="0"/>
      <w:r>
        <w:rPr>
          <w:rFonts w:hint="eastAsia" w:ascii="Times New Roman" w:hAnsi="Times New Roman" w:eastAsia="宋体" w:cs="仿宋"/>
          <w:sz w:val="24"/>
          <w:szCs w:val="32"/>
        </w:rPr>
        <w:t>。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第五章  证券组合管理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本章介绍了证券组合管理的基本内容。通过本章的学习，应了解证券投资风险分类，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常用的投资组合管理业绩评价模型；</w:t>
      </w:r>
      <w:r>
        <w:rPr>
          <w:rFonts w:hint="eastAsia" w:ascii="Times New Roman" w:hAnsi="Times New Roman" w:eastAsia="宋体" w:cs="仿宋"/>
          <w:sz w:val="24"/>
          <w:szCs w:val="32"/>
        </w:rPr>
        <w:t>理解证券组合管理的基本步骤；掌握证券组合的基本类型。</w:t>
      </w:r>
    </w:p>
    <w:p>
      <w:pPr>
        <w:spacing w:line="360" w:lineRule="auto"/>
        <w:ind w:firstLine="645"/>
        <w:jc w:val="left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（一）证券投资风险分类</w:t>
      </w:r>
    </w:p>
    <w:p>
      <w:pPr>
        <w:spacing w:line="360" w:lineRule="auto"/>
        <w:ind w:firstLine="645"/>
        <w:jc w:val="left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（二）证券组合的基本类型</w:t>
      </w:r>
    </w:p>
    <w:p>
      <w:pPr>
        <w:spacing w:line="360" w:lineRule="auto"/>
        <w:ind w:firstLine="645"/>
        <w:jc w:val="left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（三）证券组合管理的基本步骤</w:t>
      </w:r>
    </w:p>
    <w:p>
      <w:pPr>
        <w:spacing w:line="360" w:lineRule="auto"/>
        <w:ind w:firstLine="645"/>
        <w:jc w:val="left"/>
        <w:rPr>
          <w:rFonts w:hint="eastAsia"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（四）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常用的投资组合管理业绩评价模型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hint="eastAsia" w:ascii="Times New Roman" w:hAnsi="Times New Roman" w:eastAsia="宋体" w:cs="仿宋"/>
          <w:sz w:val="24"/>
          <w:szCs w:val="32"/>
        </w:rPr>
        <w:t>1.识记：（1）市场风险；（2）违约风险；（3）利率风险；（4）系统性风险；（5）非系统性风险；（6）避税型证券组合；（7）收入型证券组合；（8）增长型证券组合；（9）夏普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指数评估模型</w:t>
      </w:r>
      <w:r>
        <w:rPr>
          <w:rFonts w:hint="eastAsia" w:ascii="Times New Roman" w:hAnsi="Times New Roman" w:eastAsia="宋体" w:cs="仿宋"/>
          <w:sz w:val="24"/>
          <w:szCs w:val="32"/>
        </w:rPr>
        <w:t>；（10）特雷诺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指数评估模型</w:t>
      </w:r>
      <w:r>
        <w:rPr>
          <w:rFonts w:hint="eastAsia" w:ascii="Times New Roman" w:hAnsi="Times New Roman" w:eastAsia="宋体" w:cs="仿宋"/>
          <w:sz w:val="24"/>
          <w:szCs w:val="32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2</w:t>
      </w:r>
      <w:r>
        <w:rPr>
          <w:rFonts w:hint="eastAsia" w:ascii="Times New Roman" w:hAnsi="Times New Roman" w:eastAsia="宋体" w:cs="仿宋"/>
          <w:sz w:val="24"/>
          <w:szCs w:val="32"/>
        </w:rPr>
        <w:t>.领会：（1）按证券投资风险的性质对证券投资风险进行分类；（2）证券组合</w:t>
      </w:r>
      <w:r>
        <w:rPr>
          <w:rFonts w:hint="eastAsia" w:ascii="Times New Roman" w:hAnsi="Times New Roman" w:cs="仿宋"/>
          <w:sz w:val="24"/>
          <w:szCs w:val="32"/>
          <w:lang w:val="en-US" w:eastAsia="zh-CN"/>
        </w:rPr>
        <w:t>管理的</w:t>
      </w:r>
      <w:r>
        <w:rPr>
          <w:rFonts w:hint="eastAsia" w:ascii="Times New Roman" w:hAnsi="Times New Roman" w:eastAsia="宋体" w:cs="仿宋"/>
          <w:sz w:val="24"/>
          <w:szCs w:val="32"/>
        </w:rPr>
        <w:t>基本步骤。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t>3.应用：</w:t>
      </w:r>
      <w:r>
        <w:rPr>
          <w:rFonts w:hint="eastAsia" w:ascii="Times New Roman" w:hAnsi="Times New Roman" w:eastAsia="宋体" w:cs="仿宋"/>
          <w:sz w:val="24"/>
          <w:szCs w:val="32"/>
        </w:rPr>
        <w:t>（1）按证券投资风险的来源对证券投资风险进行分类；（2）证券组合的基本类型。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widowControl/>
        <w:jc w:val="left"/>
        <w:rPr>
          <w:rFonts w:ascii="Times New Roman" w:hAnsi="Times New Roman" w:eastAsia="宋体" w:cs="仿宋"/>
          <w:sz w:val="24"/>
          <w:szCs w:val="32"/>
        </w:rPr>
      </w:pPr>
      <w:r>
        <w:rPr>
          <w:rFonts w:ascii="Times New Roman" w:hAnsi="Times New Roman" w:eastAsia="宋体" w:cs="仿宋"/>
          <w:sz w:val="24"/>
          <w:szCs w:val="32"/>
        </w:rPr>
        <w:br w:type="page"/>
      </w:r>
    </w:p>
    <w:p>
      <w:pPr>
        <w:jc w:val="both"/>
        <w:rPr>
          <w:rFonts w:hint="default" w:ascii="Times New Roman Regular" w:hAnsi="Times New Roman Regular" w:cs="Times New Roman Regular"/>
          <w:b/>
          <w:bCs/>
          <w:sz w:val="36"/>
          <w:szCs w:val="36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</w:rPr>
        <w:t>【附录】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</w:rPr>
      </w:pPr>
      <w:r>
        <w:rPr>
          <w:rFonts w:hint="default" w:ascii="Times New Roman Regular" w:hAnsi="Times New Roman Regular" w:eastAsia="黑体" w:cs="Times New Roman Regular"/>
          <w:sz w:val="36"/>
          <w:szCs w:val="36"/>
        </w:rPr>
        <w:t>题型例举</w:t>
      </w: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</w:rPr>
        <w:t>一、单项选择题：本大题共  小题，每小题 分，共 分。在每小题列出的备选项中，只有一项最符合题目要求，请将其选出。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1．按证券市场的（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）划分，证券市场分为一级市场和二级市场。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A．市场交易组织形式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B．市场性质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C．市场功能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D．市场特征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</w:rPr>
        <w:t>二、多项选择题：本大题共  小题，每小题 分，共 分。在每小题列出的备选项中，有两个或两个以上符合题目要求，请将其选出。请至少选择两个答案，全部选对得满分，多选、少选、错选、不选均不得分。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债券有如下主要特征（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）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A．偿还性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B．流通性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C．安全性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   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D．收益性</w:t>
      </w:r>
    </w:p>
    <w:p>
      <w:pPr>
        <w:keepNext w:val="0"/>
        <w:keepLines w:val="0"/>
        <w:pageBreakBefore w:val="0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</w:rPr>
        <w:t>三、名词解释题：本大题共  小题，每小题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 Regular"/>
          <w:sz w:val="24"/>
          <w:szCs w:val="24"/>
        </w:rPr>
      </w:pPr>
      <w:r>
        <w:rPr>
          <w:rFonts w:hint="eastAsia" w:ascii="Times New Roman" w:hAnsi="Times New Roman" w:eastAsia="宋体" w:cs="Times New Roman Regular"/>
          <w:sz w:val="24"/>
          <w:szCs w:val="24"/>
        </w:rPr>
        <w:t>3</w:t>
      </w:r>
      <w:r>
        <w:rPr>
          <w:rFonts w:ascii="Times New Roman" w:hAnsi="Times New Roman" w:eastAsia="宋体" w:cs="Times New Roman Regular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sz w:val="24"/>
          <w:szCs w:val="24"/>
        </w:rPr>
        <w:t>开放式基金</w:t>
      </w:r>
      <w:r>
        <w:rPr>
          <w:rFonts w:ascii="Times New Roman" w:hAnsi="Times New Roman" w:eastAsia="宋体" w:cs="Times New Roman Regular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sz w:val="24"/>
          <w:szCs w:val="24"/>
        </w:rPr>
      </w:pPr>
      <w:r>
        <w:rPr>
          <w:rFonts w:hint="eastAsia" w:ascii="Times New Roman" w:hAnsi="Times New Roman" w:eastAsia="宋体" w:cs="Times New Roman Regular"/>
          <w:sz w:val="24"/>
          <w:szCs w:val="24"/>
        </w:rPr>
        <w:t>4</w:t>
      </w:r>
      <w:r>
        <w:rPr>
          <w:rFonts w:ascii="Times New Roman" w:hAnsi="Times New Roman" w:eastAsia="宋体" w:cs="Times New Roman Regular"/>
          <w:sz w:val="24"/>
          <w:szCs w:val="24"/>
        </w:rPr>
        <w:t>．</w:t>
      </w:r>
      <w:r>
        <w:rPr>
          <w:rFonts w:hint="eastAsia" w:ascii="Times New Roman" w:hAnsi="Times New Roman" w:eastAsia="宋体" w:cs="Times New Roman Regular"/>
          <w:sz w:val="24"/>
          <w:szCs w:val="24"/>
        </w:rPr>
        <w:t>市盈率：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</w:rPr>
        <w:t>四、简答题：本大题共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 Regular"/>
          <w:sz w:val="24"/>
        </w:rPr>
      </w:pPr>
      <w:r>
        <w:rPr>
          <w:rFonts w:ascii="Times New Roman" w:hAnsi="Times New Roman" w:eastAsia="宋体" w:cs="Times New Roman Regular"/>
          <w:sz w:val="24"/>
        </w:rPr>
        <w:t>5</w:t>
      </w:r>
      <w:r>
        <w:rPr>
          <w:rFonts w:ascii="Times New Roman" w:hAnsi="Times New Roman" w:eastAsia="宋体" w:cs="Times New Roman Regular"/>
          <w:color w:val="000000"/>
          <w:sz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</w:rPr>
        <w:t>简析优先股与普通股的主要区别。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</w:rPr>
      </w:pPr>
      <w:r>
        <w:rPr>
          <w:rFonts w:ascii="Times New Roman" w:hAnsi="Times New Roman" w:eastAsia="宋体" w:cs="Times New Roman Regular"/>
          <w:sz w:val="24"/>
        </w:rPr>
        <w:t>6</w:t>
      </w:r>
      <w:r>
        <w:rPr>
          <w:rFonts w:ascii="Times New Roman" w:hAnsi="Times New Roman" w:eastAsia="宋体" w:cs="Times New Roman Regular"/>
          <w:color w:val="000000"/>
          <w:sz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</w:rPr>
        <w:t>简析产业生命周期各阶段的主要特征。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 Regular"/>
          <w:color w:val="000000"/>
          <w:sz w:val="2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tabs>
          <w:tab w:val="left" w:pos="42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jc w:val="left"/>
        <w:textAlignment w:val="auto"/>
        <w:rPr>
          <w:rFonts w:hint="eastAsia" w:ascii="楷体_GB2312" w:hAnsi="Times New Roman" w:eastAsia="黑体" w:cs="Times New Roman"/>
          <w:sz w:val="24"/>
          <w:szCs w:val="24"/>
        </w:rPr>
      </w:pPr>
      <w:r>
        <w:rPr>
          <w:rFonts w:hint="eastAsia" w:ascii="楷体_GB2312" w:hAnsi="Times New Roman" w:eastAsia="黑体" w:cs="Times New Roman"/>
          <w:sz w:val="24"/>
          <w:szCs w:val="24"/>
        </w:rPr>
        <w:t>五、论述题：本大题共  小题，每小题  分，共  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ascii="Times New Roman" w:hAnsi="Times New Roman" w:eastAsia="宋体" w:cs="Times New Roman Regular"/>
          <w:sz w:val="24"/>
        </w:rPr>
      </w:pPr>
      <w:r>
        <w:rPr>
          <w:rFonts w:ascii="Times New Roman" w:hAnsi="Times New Roman" w:eastAsia="宋体" w:cs="Times New Roman Regular"/>
          <w:sz w:val="24"/>
        </w:rPr>
        <w:t>7</w:t>
      </w:r>
      <w:r>
        <w:rPr>
          <w:rFonts w:ascii="Times New Roman" w:hAnsi="Times New Roman" w:eastAsia="宋体" w:cs="Times New Roman Regular"/>
          <w:color w:val="000000"/>
          <w:sz w:val="24"/>
        </w:rPr>
        <w:t>．</w:t>
      </w:r>
      <w:r>
        <w:rPr>
          <w:rFonts w:hint="eastAsia" w:ascii="Times New Roman" w:hAnsi="Times New Roman" w:eastAsia="宋体" w:cs="Times New Roman Regular"/>
          <w:color w:val="000000"/>
          <w:sz w:val="24"/>
        </w:rPr>
        <w:t xml:space="preserve">请结合我国证券市场现实情况，论述货币政策对证券市场价格的主要影响。 </w:t>
      </w: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宋体" w:cs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NjUyZmQ4OTcyM2E0Y2ZlNjkxMmEyMDc2ZTkyMjcifQ=="/>
  </w:docVars>
  <w:rsids>
    <w:rsidRoot w:val="00C73CD9"/>
    <w:rsid w:val="00006771"/>
    <w:rsid w:val="00007D00"/>
    <w:rsid w:val="00017D0B"/>
    <w:rsid w:val="00023821"/>
    <w:rsid w:val="00035AC2"/>
    <w:rsid w:val="000418DE"/>
    <w:rsid w:val="000456AF"/>
    <w:rsid w:val="000459B0"/>
    <w:rsid w:val="000566BC"/>
    <w:rsid w:val="00071F61"/>
    <w:rsid w:val="0008052F"/>
    <w:rsid w:val="000A4A88"/>
    <w:rsid w:val="000B79F1"/>
    <w:rsid w:val="000C3C64"/>
    <w:rsid w:val="000C5DE2"/>
    <w:rsid w:val="000D28A4"/>
    <w:rsid w:val="000E59EC"/>
    <w:rsid w:val="000F3300"/>
    <w:rsid w:val="00110A19"/>
    <w:rsid w:val="001139FB"/>
    <w:rsid w:val="00130061"/>
    <w:rsid w:val="00150DD3"/>
    <w:rsid w:val="00151673"/>
    <w:rsid w:val="001658B7"/>
    <w:rsid w:val="001740EC"/>
    <w:rsid w:val="00174486"/>
    <w:rsid w:val="001A31E1"/>
    <w:rsid w:val="001D28BE"/>
    <w:rsid w:val="001E4780"/>
    <w:rsid w:val="00227083"/>
    <w:rsid w:val="0023616E"/>
    <w:rsid w:val="00251D89"/>
    <w:rsid w:val="002531E3"/>
    <w:rsid w:val="00260E4A"/>
    <w:rsid w:val="002709D1"/>
    <w:rsid w:val="0027441C"/>
    <w:rsid w:val="0028083E"/>
    <w:rsid w:val="002862DD"/>
    <w:rsid w:val="00296678"/>
    <w:rsid w:val="002C6589"/>
    <w:rsid w:val="002E08B5"/>
    <w:rsid w:val="0031072E"/>
    <w:rsid w:val="003167F7"/>
    <w:rsid w:val="003261C9"/>
    <w:rsid w:val="003425E8"/>
    <w:rsid w:val="0034467E"/>
    <w:rsid w:val="00344683"/>
    <w:rsid w:val="0036074B"/>
    <w:rsid w:val="00383E87"/>
    <w:rsid w:val="00386909"/>
    <w:rsid w:val="00393978"/>
    <w:rsid w:val="003B32F0"/>
    <w:rsid w:val="003E0720"/>
    <w:rsid w:val="004059C6"/>
    <w:rsid w:val="004269F1"/>
    <w:rsid w:val="00434D40"/>
    <w:rsid w:val="0045377E"/>
    <w:rsid w:val="004705FB"/>
    <w:rsid w:val="00476086"/>
    <w:rsid w:val="00495332"/>
    <w:rsid w:val="004A6F16"/>
    <w:rsid w:val="004C4A7F"/>
    <w:rsid w:val="004D64A6"/>
    <w:rsid w:val="004E636C"/>
    <w:rsid w:val="004F7DDE"/>
    <w:rsid w:val="00500103"/>
    <w:rsid w:val="005336D7"/>
    <w:rsid w:val="00540A7F"/>
    <w:rsid w:val="00544EAE"/>
    <w:rsid w:val="0055078E"/>
    <w:rsid w:val="00554FA2"/>
    <w:rsid w:val="00570ADD"/>
    <w:rsid w:val="005735BB"/>
    <w:rsid w:val="00575299"/>
    <w:rsid w:val="00582056"/>
    <w:rsid w:val="00587EEA"/>
    <w:rsid w:val="005B0D2F"/>
    <w:rsid w:val="005B14E7"/>
    <w:rsid w:val="005B1503"/>
    <w:rsid w:val="005B725B"/>
    <w:rsid w:val="005C5E16"/>
    <w:rsid w:val="005D36D9"/>
    <w:rsid w:val="005E01F1"/>
    <w:rsid w:val="005E485C"/>
    <w:rsid w:val="005F4EE0"/>
    <w:rsid w:val="006036F1"/>
    <w:rsid w:val="00611F94"/>
    <w:rsid w:val="00632217"/>
    <w:rsid w:val="006326E7"/>
    <w:rsid w:val="00641C09"/>
    <w:rsid w:val="00641D09"/>
    <w:rsid w:val="006449A4"/>
    <w:rsid w:val="00653DB2"/>
    <w:rsid w:val="00661840"/>
    <w:rsid w:val="00674931"/>
    <w:rsid w:val="00680234"/>
    <w:rsid w:val="006C1039"/>
    <w:rsid w:val="006C524F"/>
    <w:rsid w:val="006C6103"/>
    <w:rsid w:val="006E1244"/>
    <w:rsid w:val="006E1C2C"/>
    <w:rsid w:val="006E72A3"/>
    <w:rsid w:val="006F1EB3"/>
    <w:rsid w:val="00702D80"/>
    <w:rsid w:val="00705F6F"/>
    <w:rsid w:val="0071212F"/>
    <w:rsid w:val="00716D76"/>
    <w:rsid w:val="007201B1"/>
    <w:rsid w:val="00721A0D"/>
    <w:rsid w:val="00751F40"/>
    <w:rsid w:val="00765D19"/>
    <w:rsid w:val="00777830"/>
    <w:rsid w:val="007B1B5D"/>
    <w:rsid w:val="007C0C27"/>
    <w:rsid w:val="007D067A"/>
    <w:rsid w:val="00810084"/>
    <w:rsid w:val="00815C60"/>
    <w:rsid w:val="008273F9"/>
    <w:rsid w:val="00832920"/>
    <w:rsid w:val="00834BB7"/>
    <w:rsid w:val="00844916"/>
    <w:rsid w:val="0084687F"/>
    <w:rsid w:val="00855041"/>
    <w:rsid w:val="00863330"/>
    <w:rsid w:val="00891410"/>
    <w:rsid w:val="00894E29"/>
    <w:rsid w:val="008A01BF"/>
    <w:rsid w:val="008A5C6E"/>
    <w:rsid w:val="008A74F5"/>
    <w:rsid w:val="008B43EC"/>
    <w:rsid w:val="008D4C23"/>
    <w:rsid w:val="008E688A"/>
    <w:rsid w:val="00903B48"/>
    <w:rsid w:val="00905109"/>
    <w:rsid w:val="0091066B"/>
    <w:rsid w:val="009471EE"/>
    <w:rsid w:val="00982A1F"/>
    <w:rsid w:val="00993CF6"/>
    <w:rsid w:val="009B2345"/>
    <w:rsid w:val="009C5C9F"/>
    <w:rsid w:val="009D499D"/>
    <w:rsid w:val="009E523F"/>
    <w:rsid w:val="00A02426"/>
    <w:rsid w:val="00A03324"/>
    <w:rsid w:val="00A04881"/>
    <w:rsid w:val="00A13258"/>
    <w:rsid w:val="00A23BDB"/>
    <w:rsid w:val="00A2500B"/>
    <w:rsid w:val="00A26C3E"/>
    <w:rsid w:val="00A34172"/>
    <w:rsid w:val="00A41A0E"/>
    <w:rsid w:val="00A5781E"/>
    <w:rsid w:val="00A6338A"/>
    <w:rsid w:val="00A83082"/>
    <w:rsid w:val="00A8542B"/>
    <w:rsid w:val="00AB37A4"/>
    <w:rsid w:val="00AD3B3F"/>
    <w:rsid w:val="00B374E6"/>
    <w:rsid w:val="00B45096"/>
    <w:rsid w:val="00B47400"/>
    <w:rsid w:val="00B51286"/>
    <w:rsid w:val="00B532E4"/>
    <w:rsid w:val="00B549E2"/>
    <w:rsid w:val="00B774E9"/>
    <w:rsid w:val="00B86B2D"/>
    <w:rsid w:val="00BC2825"/>
    <w:rsid w:val="00BC395F"/>
    <w:rsid w:val="00BD5EAB"/>
    <w:rsid w:val="00BF0A98"/>
    <w:rsid w:val="00C1086B"/>
    <w:rsid w:val="00C172D7"/>
    <w:rsid w:val="00C33378"/>
    <w:rsid w:val="00C4448A"/>
    <w:rsid w:val="00C51545"/>
    <w:rsid w:val="00C73CD9"/>
    <w:rsid w:val="00C800DB"/>
    <w:rsid w:val="00CA0E2F"/>
    <w:rsid w:val="00CD21F7"/>
    <w:rsid w:val="00CD573D"/>
    <w:rsid w:val="00CE6567"/>
    <w:rsid w:val="00CF129A"/>
    <w:rsid w:val="00D13555"/>
    <w:rsid w:val="00D152D6"/>
    <w:rsid w:val="00D20170"/>
    <w:rsid w:val="00D43878"/>
    <w:rsid w:val="00D531E3"/>
    <w:rsid w:val="00D53656"/>
    <w:rsid w:val="00D61F4A"/>
    <w:rsid w:val="00D719CE"/>
    <w:rsid w:val="00DA383A"/>
    <w:rsid w:val="00DA601B"/>
    <w:rsid w:val="00DA6C47"/>
    <w:rsid w:val="00DB181A"/>
    <w:rsid w:val="00DB5CEC"/>
    <w:rsid w:val="00DC7584"/>
    <w:rsid w:val="00DE427B"/>
    <w:rsid w:val="00E218B1"/>
    <w:rsid w:val="00E24454"/>
    <w:rsid w:val="00E4020C"/>
    <w:rsid w:val="00E45D31"/>
    <w:rsid w:val="00E66F1D"/>
    <w:rsid w:val="00E877B9"/>
    <w:rsid w:val="00E917E7"/>
    <w:rsid w:val="00EA697A"/>
    <w:rsid w:val="00EB423B"/>
    <w:rsid w:val="00EB65D0"/>
    <w:rsid w:val="00ED13CA"/>
    <w:rsid w:val="00ED24B8"/>
    <w:rsid w:val="00EF440D"/>
    <w:rsid w:val="00EF5C0E"/>
    <w:rsid w:val="00F00C07"/>
    <w:rsid w:val="00F34B6B"/>
    <w:rsid w:val="00F4170B"/>
    <w:rsid w:val="00F44EB6"/>
    <w:rsid w:val="00F56FDD"/>
    <w:rsid w:val="00FA1EE1"/>
    <w:rsid w:val="00FA55F6"/>
    <w:rsid w:val="00FC0D38"/>
    <w:rsid w:val="00FD5AC4"/>
    <w:rsid w:val="01791910"/>
    <w:rsid w:val="0BE81B6C"/>
    <w:rsid w:val="10EA5A3E"/>
    <w:rsid w:val="12720067"/>
    <w:rsid w:val="19395083"/>
    <w:rsid w:val="209914EF"/>
    <w:rsid w:val="22CE60A8"/>
    <w:rsid w:val="23384D2F"/>
    <w:rsid w:val="24632CC1"/>
    <w:rsid w:val="24E52C95"/>
    <w:rsid w:val="27054F28"/>
    <w:rsid w:val="282C4737"/>
    <w:rsid w:val="2D033C32"/>
    <w:rsid w:val="3063726C"/>
    <w:rsid w:val="34C46423"/>
    <w:rsid w:val="37E312B6"/>
    <w:rsid w:val="3BE5034E"/>
    <w:rsid w:val="3F852C53"/>
    <w:rsid w:val="473D239B"/>
    <w:rsid w:val="498521CD"/>
    <w:rsid w:val="4D7F6F33"/>
    <w:rsid w:val="4FFB10ED"/>
    <w:rsid w:val="5B155FAA"/>
    <w:rsid w:val="5D3E1C97"/>
    <w:rsid w:val="5FCB425A"/>
    <w:rsid w:val="680450B8"/>
    <w:rsid w:val="6C0C3C30"/>
    <w:rsid w:val="6EA73A25"/>
    <w:rsid w:val="70C953BB"/>
    <w:rsid w:val="71500A63"/>
    <w:rsid w:val="75E83018"/>
    <w:rsid w:val="77963A74"/>
    <w:rsid w:val="79134850"/>
    <w:rsid w:val="798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2 字符"/>
    <w:basedOn w:val="6"/>
    <w:link w:val="2"/>
    <w:autoRedefine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eastAsia="宋体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eastAsia="宋体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531</Words>
  <Characters>3029</Characters>
  <Lines>25</Lines>
  <Paragraphs>7</Paragraphs>
  <TotalTime>1</TotalTime>
  <ScaleCrop>false</ScaleCrop>
  <LinksUpToDate>false</LinksUpToDate>
  <CharactersWithSpaces>3553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2024-01-07T04:55:00Z</dcterms:created>
  <dc:creator>王 王</dc:creator>
  <cp:lastModifiedBy>WPS_1692440319</cp:lastModifiedBy>
  <dcterms:modified xsi:type="dcterms:W3CDTF">2024-05-09T13:16:07Z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242AFD27B4024CAAA6C8CA6127ACC133_13</vt:lpwstr>
  </property>
</Properties>
</file>