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outlineLvl w:val="0"/>
        <w:rPr>
          <w:rFonts w:hint="default" w:ascii="Times New Roman" w:hAnsi="Times New Roman" w:eastAsia="方正小标宋简体" w:cs="Times New Roman"/>
          <w:w w:val="90"/>
          <w:sz w:val="36"/>
          <w:szCs w:val="36"/>
          <w:u w:val="none"/>
          <w:lang w:val="en-US" w:eastAsia="zh-CN" w:bidi="ar"/>
        </w:rPr>
      </w:pPr>
      <w:r>
        <w:rPr>
          <w:rFonts w:hint="eastAsia" w:eastAsia="方正小标宋简体" w:cs="Times New Roman"/>
          <w:w w:val="90"/>
          <w:sz w:val="36"/>
          <w:szCs w:val="36"/>
          <w:u w:val="none"/>
          <w:lang w:eastAsia="zh-CN" w:bidi="ar"/>
        </w:rPr>
        <w:t>附件</w:t>
      </w:r>
      <w:r>
        <w:rPr>
          <w:rFonts w:hint="eastAsia" w:eastAsia="方正小标宋简体" w:cs="Times New Roman"/>
          <w:w w:val="90"/>
          <w:sz w:val="36"/>
          <w:szCs w:val="36"/>
          <w:u w:val="none"/>
          <w:lang w:val="en-US" w:eastAsia="zh-CN" w:bidi="ar"/>
        </w:rPr>
        <w:t>1：</w:t>
      </w:r>
    </w:p>
    <w:p>
      <w:pPr>
        <w:widowControl w:val="0"/>
        <w:numPr>
          <w:ilvl w:val="0"/>
          <w:numId w:val="0"/>
        </w:numPr>
        <w:jc w:val="center"/>
        <w:outlineLvl w:val="0"/>
        <w:rPr>
          <w:rFonts w:hint="default" w:ascii="Times New Roman" w:hAnsi="Times New Roman" w:eastAsia="方正小标宋简体" w:cs="Times New Roman"/>
          <w:w w:val="90"/>
          <w:sz w:val="36"/>
          <w:szCs w:val="36"/>
          <w:u w:val="none"/>
          <w:lang w:bidi="ar"/>
        </w:rPr>
      </w:pPr>
      <w:r>
        <w:rPr>
          <w:rFonts w:hint="default" w:ascii="Times New Roman" w:hAnsi="Times New Roman" w:eastAsia="方正小标宋简体" w:cs="Times New Roman"/>
          <w:w w:val="90"/>
          <w:sz w:val="36"/>
          <w:szCs w:val="36"/>
          <w:u w:val="none"/>
          <w:lang w:bidi="ar"/>
        </w:rPr>
        <w:t>广东省高等教育自学考试违规物品种类清单</w:t>
      </w:r>
    </w:p>
    <w:tbl>
      <w:tblPr>
        <w:tblStyle w:val="2"/>
        <w:tblW w:w="0" w:type="auto"/>
        <w:tblInd w:w="-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7"/>
        <w:gridCol w:w="1908"/>
        <w:gridCol w:w="5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物品类别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6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通讯工具类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手机、平板电脑、无线耳机、智能手表、运动手环及其他无线接收、传送设备等具有通信功能的工具。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2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纸质材料类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书刊、报纸、稿纸、图片、参考资料、写有字迹的纸张（除准考证）等。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7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电子用品类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具有存储、查询、编程、录音、扫描及摄像功能的电子设备。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1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文具类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涂改液、修正带、不透明的文具盒（袋、套）等与考试无关的文具。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危害安全类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易燃、易爆、管制刀具、枪支等物品。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其他类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不透明水杯（含饮料）。</w:t>
            </w:r>
          </w:p>
        </w:tc>
      </w:tr>
    </w:tbl>
    <w:p>
      <w:pPr>
        <w:pStyle w:val="4"/>
        <w:snapToGrid w:val="0"/>
        <w:spacing w:line="360" w:lineRule="exact"/>
        <w:ind w:left="0" w:leftChars="0" w:firstLine="0" w:firstLineChars="0"/>
        <w:jc w:val="left"/>
        <w:rPr>
          <w:rFonts w:ascii="黑体" w:hAnsi="黑体" w:eastAsia="黑体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05799"/>
    <w:rsid w:val="3180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1I2"/>
    <w:basedOn w:val="5"/>
    <w:next w:val="1"/>
    <w:qFormat/>
    <w:uiPriority w:val="0"/>
    <w:pPr>
      <w:ind w:firstLine="420" w:firstLineChars="200"/>
      <w:textAlignment w:val="baseline"/>
    </w:pPr>
    <w:rPr>
      <w:rFonts w:ascii="Times New Roman" w:hAnsi="Times New Roman" w:eastAsia="宋体" w:cs="Times New Roman"/>
      <w:szCs w:val="21"/>
    </w:rPr>
  </w:style>
  <w:style w:type="paragraph" w:customStyle="1" w:styleId="5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2024-10-22T03:05:00Z</dcterms:created>
  <dc:creator>王凤仪</dc:creator>
  <cp:lastModifiedBy>王凤仪</cp:lastModifiedBy>
  <dcterms:modified xsi:type="dcterms:W3CDTF">2024-10-22T03:06:04Z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6F82371110EE4D80A10B2DFA46C0C29C</vt:lpwstr>
  </property>
</Properties>
</file>