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805F8">
      <w:pPr>
        <w:pStyle w:val="2"/>
        <w:spacing w:before="240" w:after="240" w:line="432" w:lineRule="auto"/>
        <w:jc w:val="left"/>
        <w:rPr>
          <w:rFonts w:hint="eastAsia" w:ascii="楷体" w:hAnsi="楷体" w:eastAsia="楷体"/>
          <w:bCs w:val="0"/>
          <w:sz w:val="32"/>
          <w:szCs w:val="32"/>
        </w:rPr>
      </w:pPr>
      <w:r>
        <w:rPr>
          <w:rFonts w:hint="eastAsia" w:ascii="楷体" w:hAnsi="楷体" w:eastAsia="楷体"/>
          <w:bCs w:val="0"/>
          <w:sz w:val="32"/>
          <w:szCs w:val="32"/>
        </w:rPr>
        <w:t>附件</w:t>
      </w:r>
      <w:r>
        <w:rPr>
          <w:rFonts w:hint="eastAsia" w:ascii="楷体" w:hAnsi="楷体" w:eastAsia="楷体"/>
          <w:bCs w:val="0"/>
          <w:sz w:val="32"/>
          <w:szCs w:val="32"/>
          <w:lang w:val="en-US" w:eastAsia="zh-CN"/>
        </w:rPr>
        <w:t>4</w:t>
      </w:r>
      <w:r>
        <w:rPr>
          <w:rFonts w:hint="eastAsia" w:ascii="楷体" w:hAnsi="楷体" w:eastAsia="楷体"/>
          <w:bCs w:val="0"/>
          <w:sz w:val="32"/>
          <w:szCs w:val="32"/>
        </w:rPr>
        <w:t>：</w:t>
      </w:r>
      <w:bookmarkStart w:id="41" w:name="_GoBack"/>
      <w:r>
        <w:rPr>
          <w:rFonts w:hint="eastAsia" w:ascii="楷体" w:hAnsi="楷体" w:eastAsia="楷体"/>
          <w:bCs w:val="0"/>
          <w:sz w:val="32"/>
          <w:szCs w:val="32"/>
        </w:rPr>
        <w:t>论文</w:t>
      </w:r>
      <w:r>
        <w:rPr>
          <w:rFonts w:ascii="楷体" w:hAnsi="楷体" w:eastAsia="楷体"/>
          <w:bCs w:val="0"/>
          <w:sz w:val="32"/>
          <w:szCs w:val="32"/>
        </w:rPr>
        <w:t>格式参考</w:t>
      </w:r>
      <w:r>
        <w:rPr>
          <w:rFonts w:hint="eastAsia" w:ascii="楷体" w:hAnsi="楷体" w:eastAsia="楷体"/>
          <w:bCs w:val="0"/>
          <w:sz w:val="32"/>
          <w:szCs w:val="32"/>
        </w:rPr>
        <w:t>范例</w:t>
      </w:r>
      <w:bookmarkEnd w:id="41"/>
    </w:p>
    <w:p w14:paraId="6E52703A">
      <w:pPr>
        <w:pStyle w:val="2"/>
        <w:spacing w:before="240" w:after="240" w:line="432" w:lineRule="auto"/>
        <w:rPr>
          <w:rFonts w:ascii="楷体" w:hAnsi="楷体" w:eastAsia="楷体"/>
          <w:b w:val="0"/>
          <w:sz w:val="24"/>
          <w:szCs w:val="24"/>
        </w:rPr>
      </w:pPr>
    </w:p>
    <w:p w14:paraId="5F8C964E">
      <w:pPr>
        <w:pStyle w:val="2"/>
        <w:spacing w:before="240" w:after="240" w:line="432" w:lineRule="auto"/>
        <w:jc w:val="center"/>
        <w:rPr>
          <w:rFonts w:hint="eastAsia" w:ascii="宋体" w:hAnsi="宋体"/>
          <w:sz w:val="52"/>
          <w:szCs w:val="52"/>
        </w:rPr>
      </w:pPr>
      <w:r>
        <w:rPr>
          <w:rFonts w:hint="eastAsia"/>
          <w:sz w:val="52"/>
          <w:szCs w:val="52"/>
        </w:rPr>
        <w:t>安徽财经大学</w:t>
      </w:r>
      <w:r>
        <w:rPr>
          <w:rFonts w:hint="eastAsia"/>
          <w:color w:val="FF0000"/>
          <w:sz w:val="52"/>
          <w:szCs w:val="52"/>
        </w:rPr>
        <w:t>（宋体一号居中）</w:t>
      </w:r>
    </w:p>
    <w:p w14:paraId="32BEF310">
      <w:pPr>
        <w:pStyle w:val="2"/>
        <w:spacing w:before="300" w:after="300" w:line="432" w:lineRule="auto"/>
        <w:ind w:left="1" w:hanging="1"/>
        <w:jc w:val="center"/>
        <w:rPr>
          <w:rFonts w:hint="eastAsia" w:ascii="楷体_GB2312" w:eastAsia="楷体_GB2312"/>
          <w:color w:val="FF0000"/>
          <w:sz w:val="48"/>
          <w:szCs w:val="48"/>
        </w:rPr>
      </w:pPr>
      <w:r>
        <w:rPr>
          <w:rFonts w:hint="eastAsia" w:ascii="楷体_GB2312" w:eastAsia="楷体_GB2312"/>
          <w:sz w:val="48"/>
          <w:szCs w:val="48"/>
        </w:rPr>
        <w:t>高等教育自学考试本科毕业论文</w:t>
      </w:r>
      <w:r>
        <w:rPr>
          <w:rFonts w:hint="eastAsia" w:ascii="楷体_GB2312" w:eastAsia="楷体_GB2312"/>
          <w:color w:val="FF0000"/>
          <w:sz w:val="48"/>
          <w:szCs w:val="48"/>
        </w:rPr>
        <w:t>（楷体小一居中）</w:t>
      </w:r>
    </w:p>
    <w:p w14:paraId="390F37CB">
      <w:pPr>
        <w:ind w:firstLine="480"/>
        <w:rPr>
          <w:rFonts w:hint="eastAsia" w:ascii="Calibri"/>
          <w:color w:val="auto"/>
          <w:szCs w:val="22"/>
        </w:rPr>
      </w:pPr>
    </w:p>
    <w:p w14:paraId="7F556EF1">
      <w:pPr>
        <w:ind w:firstLine="480"/>
      </w:pPr>
    </w:p>
    <w:p w14:paraId="7C8A8624">
      <w:pPr>
        <w:ind w:firstLine="480"/>
      </w:pPr>
    </w:p>
    <w:p w14:paraId="2D5FF6DF">
      <w:pPr>
        <w:ind w:firstLine="480"/>
      </w:pPr>
    </w:p>
    <w:p w14:paraId="301425CD">
      <w:pPr>
        <w:ind w:firstLine="480"/>
      </w:pPr>
    </w:p>
    <w:p w14:paraId="003A72D6">
      <w:pPr>
        <w:ind w:firstLine="723"/>
        <w:jc w:val="center"/>
        <w:rPr>
          <w:rFonts w:ascii="宋体" w:hAnsi="宋体"/>
          <w:b/>
          <w:sz w:val="36"/>
          <w:szCs w:val="36"/>
        </w:rPr>
      </w:pPr>
      <w:r>
        <w:rPr>
          <w:rFonts w:hint="eastAsia" w:ascii="楷体_GB2312" w:hAnsi="Times New Roman" w:eastAsia="楷体_GB2312" w:cs="Times New Roman"/>
          <w:b/>
          <w:bCs/>
          <w:color w:val="000000"/>
          <w:kern w:val="44"/>
          <w:sz w:val="36"/>
          <w:szCs w:val="36"/>
          <w:lang w:val="en-US" w:eastAsia="zh-CN" w:bidi="ar-SA"/>
        </w:rPr>
        <w:t>题目：********</w:t>
      </w:r>
      <w:r>
        <w:rPr>
          <w:rFonts w:hint="eastAsia" w:ascii="宋体" w:hAnsi="宋体"/>
          <w:b/>
          <w:color w:val="FF0000"/>
          <w:sz w:val="36"/>
          <w:szCs w:val="36"/>
        </w:rPr>
        <w:t>（楷体小二）</w:t>
      </w:r>
    </w:p>
    <w:p w14:paraId="44A90939">
      <w:pPr>
        <w:ind w:firstLine="883"/>
        <w:jc w:val="center"/>
        <w:rPr>
          <w:rFonts w:hint="eastAsia" w:ascii="Calibri" w:hAnsi="Calibri"/>
          <w:b/>
          <w:sz w:val="44"/>
          <w:szCs w:val="22"/>
        </w:rPr>
      </w:pPr>
    </w:p>
    <w:p w14:paraId="231CF016">
      <w:pPr>
        <w:ind w:firstLine="883"/>
        <w:jc w:val="center"/>
        <w:rPr>
          <w:b/>
          <w:sz w:val="44"/>
        </w:rPr>
      </w:pPr>
    </w:p>
    <w:p w14:paraId="4E7E397C">
      <w:pPr>
        <w:ind w:firstLine="482"/>
        <w:jc w:val="center"/>
        <w:rPr>
          <w:b/>
        </w:rPr>
      </w:pPr>
    </w:p>
    <w:p w14:paraId="2074617A">
      <w:pPr>
        <w:spacing w:line="700" w:lineRule="exact"/>
        <w:ind w:firstLine="2249" w:firstLineChars="700"/>
        <w:rPr>
          <w:rFonts w:ascii="楷体_GB2312" w:eastAsia="楷体_GB2312"/>
          <w:b/>
          <w:color w:val="4F81BD"/>
          <w:sz w:val="32"/>
          <w:szCs w:val="22"/>
        </w:rPr>
      </w:pPr>
      <w:r>
        <w:rPr>
          <w:rFonts w:hint="eastAsia" w:ascii="楷体_GB2312" w:eastAsia="楷体_GB2312"/>
          <w:b/>
          <w:sz w:val="32"/>
        </w:rPr>
        <w:t>姓    名：  ******</w:t>
      </w:r>
      <w:r>
        <w:rPr>
          <w:rFonts w:hint="eastAsia" w:ascii="楷体_GB2312" w:eastAsia="楷体_GB2312"/>
          <w:b/>
          <w:color w:val="FF0000"/>
          <w:sz w:val="32"/>
        </w:rPr>
        <w:t>（</w:t>
      </w:r>
      <w:r>
        <w:rPr>
          <w:rFonts w:hint="eastAsia" w:ascii="宋体" w:hAnsi="宋体"/>
          <w:b/>
          <w:color w:val="FF0000"/>
          <w:sz w:val="36"/>
          <w:szCs w:val="36"/>
        </w:rPr>
        <w:t>楷体</w:t>
      </w:r>
      <w:r>
        <w:rPr>
          <w:rFonts w:hint="eastAsia" w:ascii="楷体_GB2312" w:eastAsia="楷体_GB2312"/>
          <w:b/>
          <w:color w:val="FF0000"/>
          <w:sz w:val="32"/>
        </w:rPr>
        <w:t>三号）</w:t>
      </w:r>
    </w:p>
    <w:p w14:paraId="7B8A18DB">
      <w:pPr>
        <w:spacing w:line="700" w:lineRule="exact"/>
        <w:ind w:firstLine="2249" w:firstLineChars="700"/>
        <w:rPr>
          <w:rFonts w:hint="eastAsia" w:ascii="楷体_GB2312" w:eastAsia="楷体_GB2312"/>
          <w:b/>
          <w:color w:val="auto"/>
          <w:sz w:val="32"/>
        </w:rPr>
      </w:pPr>
      <w:r>
        <w:rPr>
          <w:rFonts w:hint="eastAsia" w:ascii="楷体_GB2312" w:eastAsia="楷体_GB2312"/>
          <w:b/>
          <w:sz w:val="32"/>
        </w:rPr>
        <w:t>专    业：  ******</w:t>
      </w:r>
    </w:p>
    <w:p w14:paraId="47B841F8">
      <w:pPr>
        <w:spacing w:line="700" w:lineRule="exact"/>
        <w:ind w:firstLine="2249" w:firstLineChars="700"/>
        <w:rPr>
          <w:rFonts w:hint="eastAsia" w:ascii="楷体_GB2312" w:eastAsia="楷体_GB2312"/>
          <w:b/>
          <w:sz w:val="32"/>
        </w:rPr>
      </w:pPr>
      <w:r>
        <w:rPr>
          <w:rFonts w:hint="eastAsia" w:ascii="楷体_GB2312" w:eastAsia="楷体_GB2312"/>
          <w:b/>
          <w:sz w:val="32"/>
        </w:rPr>
        <w:t>准考证号：  ******</w:t>
      </w:r>
    </w:p>
    <w:p w14:paraId="19E4C90D">
      <w:pPr>
        <w:spacing w:line="700" w:lineRule="exact"/>
        <w:ind w:firstLine="2249" w:firstLineChars="700"/>
        <w:rPr>
          <w:rFonts w:hint="eastAsia" w:ascii="楷体_GB2312" w:eastAsia="楷体_GB2312"/>
          <w:b/>
          <w:sz w:val="32"/>
        </w:rPr>
      </w:pPr>
      <w:r>
        <w:rPr>
          <w:rFonts w:hint="eastAsia" w:ascii="楷体_GB2312" w:eastAsia="楷体_GB2312"/>
          <w:b/>
          <w:sz w:val="32"/>
        </w:rPr>
        <w:t>指导老师：  ******</w:t>
      </w:r>
    </w:p>
    <w:p w14:paraId="055EB374">
      <w:pPr>
        <w:spacing w:line="700" w:lineRule="exact"/>
        <w:ind w:firstLine="2249" w:firstLineChars="700"/>
        <w:rPr>
          <w:rFonts w:hint="eastAsia" w:ascii="楷体_GB2312" w:eastAsia="楷体_GB2312"/>
          <w:b/>
          <w:sz w:val="32"/>
        </w:rPr>
      </w:pPr>
      <w:r>
        <w:rPr>
          <w:rFonts w:hint="eastAsia" w:ascii="楷体_GB2312" w:eastAsia="楷体_GB2312"/>
          <w:b/>
          <w:sz w:val="32"/>
        </w:rPr>
        <w:t>完成日期： 年月日</w:t>
      </w:r>
    </w:p>
    <w:p w14:paraId="180FFD92">
      <w:pPr>
        <w:spacing w:line="700" w:lineRule="exact"/>
        <w:ind w:firstLine="2240" w:firstLineChars="700"/>
        <w:rPr>
          <w:rFonts w:hint="eastAsia" w:ascii="楷体_GB2312" w:eastAsia="楷体_GB2312"/>
          <w:sz w:val="32"/>
        </w:rPr>
      </w:pPr>
    </w:p>
    <w:p w14:paraId="4F625C31">
      <w:pPr>
        <w:keepNext w:val="0"/>
        <w:keepLines w:val="0"/>
        <w:pageBreakBefore w:val="0"/>
        <w:widowControl/>
        <w:kinsoku w:val="0"/>
        <w:wordWrap/>
        <w:overflowPunct/>
        <w:topLinePunct w:val="0"/>
        <w:autoSpaceDE w:val="0"/>
        <w:autoSpaceDN w:val="0"/>
        <w:bidi w:val="0"/>
        <w:adjustRightInd w:val="0"/>
        <w:snapToGrid w:val="0"/>
        <w:spacing w:after="326" w:afterLines="100" w:line="360" w:lineRule="auto"/>
        <w:ind w:firstLine="57" w:firstLineChars="19"/>
        <w:jc w:val="center"/>
        <w:textAlignment w:val="baseline"/>
        <w:outlineLvl w:val="0"/>
        <w:rPr>
          <w:rFonts w:hint="eastAsia" w:ascii="黑体" w:hAnsi="黑体" w:eastAsia="黑体" w:cs="Arial"/>
          <w:snapToGrid w:val="0"/>
          <w:color w:val="231815"/>
          <w:kern w:val="0"/>
          <w:sz w:val="30"/>
          <w:szCs w:val="30"/>
          <w:shd w:val="clear" w:color="auto" w:fill="FFFFFF"/>
          <w:lang w:val="en-US" w:eastAsia="zh-CN"/>
        </w:rPr>
        <w:sectPr>
          <w:footerReference r:id="rId3" w:type="default"/>
          <w:pgSz w:w="11906" w:h="16838"/>
          <w:pgMar w:top="1440" w:right="1800" w:bottom="1440" w:left="1800" w:header="0" w:footer="992" w:gutter="0"/>
          <w:pgNumType w:fmt="decimal"/>
          <w:cols w:space="720" w:num="1"/>
          <w:docGrid w:type="lines" w:linePitch="326" w:charSpace="0"/>
        </w:sectPr>
      </w:pPr>
      <w:bookmarkStart w:id="0" w:name="_Toc21493"/>
    </w:p>
    <w:p w14:paraId="7DCDB462">
      <w:pPr>
        <w:keepNext w:val="0"/>
        <w:keepLines w:val="0"/>
        <w:pageBreakBefore w:val="0"/>
        <w:widowControl/>
        <w:kinsoku w:val="0"/>
        <w:wordWrap/>
        <w:overflowPunct/>
        <w:topLinePunct w:val="0"/>
        <w:autoSpaceDE w:val="0"/>
        <w:autoSpaceDN w:val="0"/>
        <w:bidi w:val="0"/>
        <w:adjustRightInd w:val="0"/>
        <w:snapToGrid w:val="0"/>
        <w:spacing w:after="326" w:afterLines="100" w:line="360" w:lineRule="auto"/>
        <w:ind w:firstLine="57" w:firstLineChars="19"/>
        <w:jc w:val="center"/>
        <w:textAlignment w:val="baseline"/>
        <w:outlineLvl w:val="0"/>
        <w:rPr>
          <w:rFonts w:ascii="黑体" w:hAnsi="黑体" w:eastAsia="黑体" w:cs="黑体"/>
          <w:b/>
          <w:bCs/>
          <w:snapToGrid w:val="0"/>
          <w:color w:val="000000"/>
          <w:spacing w:val="-5"/>
          <w:kern w:val="0"/>
          <w:sz w:val="31"/>
          <w:szCs w:val="31"/>
          <w:lang w:eastAsia="en-US"/>
        </w:rPr>
      </w:pPr>
      <w:r>
        <w:rPr>
          <w:rFonts w:hint="eastAsia" w:ascii="黑体" w:hAnsi="黑体" w:eastAsia="黑体" w:cs="Arial"/>
          <w:snapToGrid w:val="0"/>
          <w:color w:val="231815"/>
          <w:kern w:val="0"/>
          <w:sz w:val="30"/>
          <w:szCs w:val="30"/>
          <w:shd w:val="clear" w:color="auto" w:fill="FFFFFF"/>
          <w:lang w:val="en-US" w:eastAsia="zh-CN"/>
        </w:rPr>
        <w:t>H</w:t>
      </w:r>
      <w:r>
        <w:rPr>
          <w:rFonts w:ascii="黑体" w:hAnsi="黑体" w:eastAsia="黑体" w:cs="Arial"/>
          <w:snapToGrid w:val="0"/>
          <w:color w:val="231815"/>
          <w:kern w:val="0"/>
          <w:sz w:val="30"/>
          <w:szCs w:val="30"/>
          <w:shd w:val="clear" w:color="auto" w:fill="FFFFFF"/>
          <w:lang w:eastAsia="en-US"/>
        </w:rPr>
        <w:t>餐饮公司服务营销策略优化研究</w:t>
      </w:r>
      <w:bookmarkEnd w:id="0"/>
    </w:p>
    <w:p w14:paraId="22E275D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eastAsia="en-US"/>
        </w:rPr>
      </w:pPr>
      <w:r>
        <w:rPr>
          <w:rFonts w:hint="eastAsia" w:ascii="黑体" w:hAnsi="黑体" w:eastAsia="黑体" w:cs="黑体"/>
          <w:snapToGrid w:val="0"/>
          <w:color w:val="000000"/>
          <w:kern w:val="0"/>
          <w:sz w:val="24"/>
          <w:szCs w:val="24"/>
          <w:lang w:eastAsia="en-US"/>
        </w:rPr>
        <w:t>摘  要</w:t>
      </w:r>
      <w:r>
        <w:rPr>
          <w:rFonts w:hint="eastAsia" w:ascii="黑体" w:hAnsi="黑体" w:eastAsia="黑体" w:cs="黑体"/>
          <w:snapToGrid w:val="0"/>
          <w:color w:val="000000"/>
          <w:kern w:val="0"/>
          <w:sz w:val="24"/>
          <w:szCs w:val="24"/>
          <w:lang w:eastAsia="zh-CN"/>
        </w:rPr>
        <w:t>：</w:t>
      </w:r>
      <w:r>
        <w:rPr>
          <w:rFonts w:hint="eastAsia" w:ascii="宋体" w:hAnsi="宋体" w:eastAsia="宋体" w:cs="宋体"/>
          <w:snapToGrid w:val="0"/>
          <w:color w:val="000000"/>
          <w:kern w:val="0"/>
          <w:sz w:val="24"/>
          <w:szCs w:val="24"/>
          <w:lang w:eastAsia="en-US"/>
        </w:rPr>
        <w:t>新冠疫情的全球大流行给全球经济带来了前所未有的冲击，各行各业都受到了巨大的影响，特别是作为人民生活四大基本支柱产业之一的餐饮业，更是受到了前所未有的打击，消费者的消费意愿降低，餐饮业的客流量大幅度减少，很多餐饮企业甚至面临倒闭的危机</w:t>
      </w:r>
      <w:r>
        <w:rPr>
          <w:rFonts w:hint="eastAsia" w:ascii="宋体" w:hAnsi="宋体" w:eastAsia="宋体" w:cs="宋体"/>
          <w:snapToGrid w:val="0"/>
          <w:color w:val="000000"/>
          <w:kern w:val="0"/>
          <w:sz w:val="24"/>
          <w:szCs w:val="24"/>
          <w:lang w:eastAsia="zh-CN"/>
        </w:rPr>
        <w:t>，</w:t>
      </w:r>
      <w:r>
        <w:rPr>
          <w:rFonts w:hint="eastAsia" w:ascii="宋体" w:hAnsi="宋体" w:eastAsia="宋体" w:cs="宋体"/>
          <w:snapToGrid w:val="0"/>
          <w:color w:val="000000"/>
          <w:kern w:val="0"/>
          <w:sz w:val="24"/>
          <w:szCs w:val="24"/>
          <w:lang w:eastAsia="en-US"/>
        </w:rPr>
        <w:t>然而，挑战与机遇并存，在新媒体、新流量时代的驱动下，餐饮业也面临着转型升级的机遇，从产品竞争转变为品牌的竞争，这不仅仅是对餐饮业的产品质量提出了更高的要求，更是对餐饮企业的品牌建设</w:t>
      </w:r>
      <w:r>
        <w:rPr>
          <w:rFonts w:hint="eastAsia" w:ascii="宋体" w:hAnsi="宋体" w:eastAsia="宋体" w:cs="宋体"/>
          <w:snapToGrid w:val="0"/>
          <w:color w:val="000000"/>
          <w:kern w:val="0"/>
          <w:sz w:val="24"/>
          <w:szCs w:val="24"/>
          <w:lang w:eastAsia="zh-CN"/>
        </w:rPr>
        <w:t>、</w:t>
      </w:r>
      <w:r>
        <w:rPr>
          <w:rFonts w:hint="eastAsia" w:ascii="宋体" w:hAnsi="宋体" w:eastAsia="宋体" w:cs="宋体"/>
          <w:snapToGrid w:val="0"/>
          <w:color w:val="000000"/>
          <w:kern w:val="0"/>
          <w:sz w:val="24"/>
          <w:szCs w:val="24"/>
          <w:lang w:eastAsia="en-US"/>
        </w:rPr>
        <w:t>营销策略提出了全新的挑战。</w:t>
      </w:r>
    </w:p>
    <w:p w14:paraId="25575F6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eastAsia="en-US"/>
        </w:rPr>
      </w:pPr>
      <w:r>
        <w:rPr>
          <w:rFonts w:hint="eastAsia" w:ascii="宋体" w:hAnsi="宋体" w:eastAsia="宋体" w:cs="宋体"/>
          <w:snapToGrid w:val="0"/>
          <w:color w:val="000000"/>
          <w:kern w:val="0"/>
          <w:sz w:val="24"/>
          <w:szCs w:val="24"/>
          <w:lang w:eastAsia="en-US"/>
        </w:rPr>
        <w:t>本文以 H 餐饮管理公司（以下简称 H 餐饮公司）为研究对象，分析了H 餐 饮公司目前所面临的现状，运用7P 营销理论，通过文献分析法、问卷调查法、 案例分析法三种研究方法，从 7 个维度对 H 餐饮公司服务营销策略存在的问题 进行研究。通过研究发现，H 餐饮公司在服务营销策略方面存在人员素质不高、 产品重复率高、营销渠道未充分利用、促销方式缺乏吸引力等问题，分析其原因 包括团队人员缺乏专业培训、定价方式不灵活、对顾客消费心理了解不充分等， 以此为基础，文章认为，应该实施打造高质量团队、采用多元化的定价策略、打 造精品新媒体账号等策略，这些优化策略旨在帮助 H 餐饮公司更好地应对疫情 后的市场环境，实现可持续发展。</w:t>
      </w:r>
    </w:p>
    <w:p w14:paraId="63655F5A">
      <w:pPr>
        <w:keepNext w:val="0"/>
        <w:keepLines w:val="0"/>
        <w:pageBreakBefore w:val="0"/>
        <w:widowControl/>
        <w:kinsoku w:val="0"/>
        <w:wordWrap/>
        <w:overflowPunct/>
        <w:topLinePunct w:val="0"/>
        <w:autoSpaceDE w:val="0"/>
        <w:autoSpaceDN w:val="0"/>
        <w:bidi w:val="0"/>
        <w:adjustRightInd w:val="0"/>
        <w:snapToGrid w:val="0"/>
        <w:spacing w:before="78" w:line="360" w:lineRule="auto"/>
        <w:ind w:firstLine="474" w:firstLineChars="200"/>
        <w:jc w:val="left"/>
        <w:textAlignment w:val="baseline"/>
        <w:rPr>
          <w:rFonts w:ascii="黑体" w:hAnsi="黑体" w:eastAsia="黑体"/>
          <w:color w:val="FF0000"/>
          <w:kern w:val="0"/>
          <w:szCs w:val="24"/>
        </w:rPr>
      </w:pPr>
      <w:r>
        <w:rPr>
          <w:rFonts w:ascii="黑体" w:hAnsi="黑体" w:eastAsia="黑体" w:cs="黑体"/>
          <w:b/>
          <w:bCs/>
          <w:snapToGrid w:val="0"/>
          <w:color w:val="000000"/>
          <w:spacing w:val="-2"/>
          <w:kern w:val="0"/>
          <w:sz w:val="24"/>
          <w:szCs w:val="24"/>
          <w:lang w:val="en-US" w:eastAsia="en-US" w:bidi="ar-SA"/>
        </w:rPr>
        <w:t>关键词</w:t>
      </w:r>
      <w:r>
        <w:rPr>
          <w:rFonts w:ascii="宋体" w:hAnsi="宋体" w:eastAsia="宋体" w:cs="宋体"/>
          <w:snapToGrid w:val="0"/>
          <w:color w:val="000000"/>
          <w:spacing w:val="-2"/>
          <w:kern w:val="0"/>
          <w:sz w:val="24"/>
          <w:szCs w:val="24"/>
          <w:lang w:val="en-US" w:eastAsia="en-US" w:bidi="ar-SA"/>
        </w:rPr>
        <w:t>：营销策略；餐饮企业；</w:t>
      </w:r>
      <w:r>
        <w:rPr>
          <w:rFonts w:ascii="Times New Roman" w:hAnsi="Times New Roman" w:eastAsia="Times New Roman" w:cs="Times New Roman"/>
          <w:snapToGrid w:val="0"/>
          <w:color w:val="000000"/>
          <w:spacing w:val="-2"/>
          <w:kern w:val="0"/>
          <w:sz w:val="24"/>
          <w:szCs w:val="24"/>
          <w:lang w:val="en-US" w:eastAsia="en-US" w:bidi="ar-SA"/>
        </w:rPr>
        <w:t xml:space="preserve">7P </w:t>
      </w:r>
      <w:r>
        <w:rPr>
          <w:rFonts w:ascii="宋体" w:hAnsi="宋体" w:eastAsia="宋体" w:cs="宋体"/>
          <w:snapToGrid w:val="0"/>
          <w:color w:val="000000"/>
          <w:spacing w:val="-2"/>
          <w:kern w:val="0"/>
          <w:sz w:val="24"/>
          <w:szCs w:val="24"/>
          <w:lang w:val="en-US" w:eastAsia="en-US" w:bidi="ar-SA"/>
        </w:rPr>
        <w:t>理论</w:t>
      </w:r>
    </w:p>
    <w:p w14:paraId="6C6BBCD2">
      <w:pPr>
        <w:spacing w:line="240" w:lineRule="auto"/>
        <w:ind w:firstLine="424" w:firstLineChars="177"/>
        <w:rPr>
          <w:rFonts w:ascii="黑体" w:hAnsi="黑体" w:eastAsia="黑体"/>
          <w:color w:val="FF0000"/>
          <w:kern w:val="0"/>
          <w:szCs w:val="24"/>
        </w:rPr>
      </w:pPr>
      <w:r>
        <w:rPr>
          <w:rFonts w:hint="eastAsia" w:ascii="黑体" w:hAnsi="黑体" w:eastAsia="黑体"/>
          <w:color w:val="FF0000"/>
          <w:kern w:val="0"/>
          <w:szCs w:val="24"/>
        </w:rPr>
        <w:t>题目</w:t>
      </w:r>
      <w:r>
        <w:rPr>
          <w:rFonts w:ascii="黑体" w:hAnsi="黑体" w:eastAsia="黑体"/>
          <w:color w:val="FF0000"/>
          <w:kern w:val="0"/>
          <w:szCs w:val="24"/>
        </w:rPr>
        <w:t>字体为小三</w:t>
      </w:r>
      <w:r>
        <w:rPr>
          <w:rFonts w:hint="eastAsia" w:ascii="黑体" w:hAnsi="黑体" w:eastAsia="黑体"/>
          <w:color w:val="FF0000"/>
          <w:kern w:val="0"/>
          <w:szCs w:val="24"/>
        </w:rPr>
        <w:t>、黑体、</w:t>
      </w:r>
      <w:r>
        <w:rPr>
          <w:rFonts w:ascii="黑体" w:hAnsi="黑体" w:eastAsia="黑体"/>
          <w:color w:val="FF0000"/>
          <w:kern w:val="0"/>
          <w:szCs w:val="24"/>
        </w:rPr>
        <w:t>居中</w:t>
      </w:r>
      <w:r>
        <w:rPr>
          <w:rFonts w:hint="eastAsia" w:ascii="黑体" w:hAnsi="黑体" w:eastAsia="黑体"/>
          <w:color w:val="FF0000"/>
          <w:kern w:val="0"/>
          <w:szCs w:val="24"/>
        </w:rPr>
        <w:t>、1.5倍</w:t>
      </w:r>
      <w:r>
        <w:rPr>
          <w:rFonts w:ascii="黑体" w:hAnsi="黑体" w:eastAsia="黑体"/>
          <w:color w:val="FF0000"/>
          <w:kern w:val="0"/>
          <w:szCs w:val="24"/>
        </w:rPr>
        <w:t>行距</w:t>
      </w:r>
    </w:p>
    <w:p w14:paraId="4708D725">
      <w:pPr>
        <w:spacing w:line="240" w:lineRule="auto"/>
        <w:ind w:firstLine="424" w:firstLineChars="177"/>
        <w:rPr>
          <w:rFonts w:ascii="黑体" w:hAnsi="黑体" w:eastAsia="黑体"/>
          <w:color w:val="FF0000"/>
          <w:kern w:val="0"/>
          <w:szCs w:val="24"/>
        </w:rPr>
      </w:pPr>
      <w:r>
        <w:rPr>
          <w:rFonts w:hint="eastAsia" w:ascii="黑体" w:hAnsi="黑体" w:eastAsia="黑体"/>
          <w:color w:val="FF0000"/>
          <w:kern w:val="0"/>
          <w:szCs w:val="24"/>
        </w:rPr>
        <w:t>“摘要”两个</w:t>
      </w:r>
      <w:r>
        <w:rPr>
          <w:rFonts w:ascii="黑体" w:hAnsi="黑体" w:eastAsia="黑体"/>
          <w:color w:val="FF0000"/>
          <w:kern w:val="0"/>
          <w:szCs w:val="24"/>
        </w:rPr>
        <w:t>字黑体</w:t>
      </w:r>
      <w:r>
        <w:rPr>
          <w:rFonts w:hint="eastAsia" w:ascii="黑体" w:hAnsi="黑体" w:eastAsia="黑体"/>
          <w:color w:val="FF0000"/>
          <w:kern w:val="0"/>
          <w:szCs w:val="24"/>
        </w:rPr>
        <w:t>，</w:t>
      </w:r>
      <w:r>
        <w:rPr>
          <w:rFonts w:ascii="黑体" w:hAnsi="黑体" w:eastAsia="黑体"/>
          <w:color w:val="FF0000"/>
          <w:kern w:val="0"/>
          <w:szCs w:val="24"/>
        </w:rPr>
        <w:t>两字之间空一格，小四号。</w:t>
      </w:r>
      <w:r>
        <w:rPr>
          <w:rFonts w:hint="eastAsia" w:ascii="黑体" w:hAnsi="黑体" w:eastAsia="黑体"/>
          <w:color w:val="FF0000"/>
          <w:kern w:val="0"/>
          <w:szCs w:val="24"/>
        </w:rPr>
        <w:t>摘要</w:t>
      </w:r>
      <w:r>
        <w:rPr>
          <w:rFonts w:ascii="黑体" w:hAnsi="黑体" w:eastAsia="黑体"/>
          <w:color w:val="FF0000"/>
          <w:kern w:val="0"/>
          <w:szCs w:val="24"/>
        </w:rPr>
        <w:t>内容</w:t>
      </w:r>
      <w:r>
        <w:rPr>
          <w:rFonts w:hint="eastAsia" w:ascii="黑体" w:hAnsi="黑体" w:eastAsia="黑体"/>
          <w:color w:val="FF0000"/>
          <w:kern w:val="0"/>
          <w:szCs w:val="24"/>
        </w:rPr>
        <w:t>300字</w:t>
      </w:r>
      <w:r>
        <w:rPr>
          <w:rFonts w:ascii="黑体" w:hAnsi="黑体" w:eastAsia="黑体"/>
          <w:color w:val="FF0000"/>
          <w:kern w:val="0"/>
          <w:szCs w:val="24"/>
        </w:rPr>
        <w:t>左右</w:t>
      </w:r>
      <w:r>
        <w:rPr>
          <w:rFonts w:hint="eastAsia" w:ascii="黑体" w:hAnsi="黑体" w:eastAsia="黑体"/>
          <w:color w:val="FF0000"/>
          <w:kern w:val="0"/>
          <w:szCs w:val="24"/>
        </w:rPr>
        <w:t>，</w:t>
      </w:r>
      <w:r>
        <w:rPr>
          <w:rFonts w:ascii="黑体" w:hAnsi="黑体" w:eastAsia="黑体"/>
          <w:color w:val="FF0000"/>
          <w:kern w:val="0"/>
          <w:szCs w:val="24"/>
        </w:rPr>
        <w:t>内容小四号</w:t>
      </w:r>
      <w:r>
        <w:rPr>
          <w:rFonts w:hint="eastAsia" w:ascii="黑体" w:hAnsi="黑体" w:eastAsia="黑体"/>
          <w:color w:val="FF0000"/>
          <w:kern w:val="0"/>
          <w:szCs w:val="24"/>
        </w:rPr>
        <w:t>、</w:t>
      </w:r>
      <w:r>
        <w:rPr>
          <w:rFonts w:ascii="黑体" w:hAnsi="黑体" w:eastAsia="黑体"/>
          <w:color w:val="FF0000"/>
          <w:kern w:val="0"/>
          <w:szCs w:val="24"/>
        </w:rPr>
        <w:t>宋体</w:t>
      </w:r>
      <w:r>
        <w:rPr>
          <w:rFonts w:hint="eastAsia" w:ascii="黑体" w:hAnsi="黑体" w:eastAsia="黑体"/>
          <w:color w:val="FF0000"/>
          <w:kern w:val="0"/>
          <w:szCs w:val="24"/>
        </w:rPr>
        <w:t>、1.5倍</w:t>
      </w:r>
      <w:r>
        <w:rPr>
          <w:rFonts w:ascii="黑体" w:hAnsi="黑体" w:eastAsia="黑体"/>
          <w:color w:val="FF0000"/>
          <w:kern w:val="0"/>
          <w:szCs w:val="24"/>
        </w:rPr>
        <w:t>行距</w:t>
      </w:r>
    </w:p>
    <w:p w14:paraId="05E5F426">
      <w:pPr>
        <w:spacing w:line="240" w:lineRule="auto"/>
        <w:ind w:firstLine="424" w:firstLineChars="177"/>
        <w:rPr>
          <w:rFonts w:ascii="黑体" w:hAnsi="黑体" w:eastAsia="黑体"/>
          <w:color w:val="FF0000"/>
          <w:kern w:val="0"/>
          <w:szCs w:val="24"/>
        </w:rPr>
      </w:pPr>
      <w:r>
        <w:rPr>
          <w:rFonts w:hint="eastAsia" w:ascii="黑体" w:hAnsi="黑体" w:eastAsia="黑体"/>
          <w:color w:val="FF0000"/>
          <w:kern w:val="0"/>
          <w:szCs w:val="24"/>
        </w:rPr>
        <w:t>关键词前空两格，关键词3</w:t>
      </w:r>
      <w:r>
        <w:rPr>
          <w:rFonts w:ascii="黑体" w:hAnsi="黑体" w:eastAsia="黑体"/>
          <w:color w:val="FF0000"/>
          <w:kern w:val="0"/>
          <w:szCs w:val="24"/>
        </w:rPr>
        <w:t>-5</w:t>
      </w:r>
      <w:r>
        <w:rPr>
          <w:rFonts w:hint="eastAsia" w:ascii="黑体" w:hAnsi="黑体" w:eastAsia="黑体"/>
          <w:color w:val="FF0000"/>
          <w:kern w:val="0"/>
          <w:szCs w:val="24"/>
        </w:rPr>
        <w:t>个为</w:t>
      </w:r>
      <w:r>
        <w:rPr>
          <w:rFonts w:ascii="黑体" w:hAnsi="黑体" w:eastAsia="黑体"/>
          <w:color w:val="FF0000"/>
          <w:kern w:val="0"/>
          <w:szCs w:val="24"/>
        </w:rPr>
        <w:t>宜</w:t>
      </w:r>
      <w:r>
        <w:rPr>
          <w:rFonts w:hint="eastAsia" w:ascii="黑体" w:hAnsi="黑体" w:eastAsia="黑体"/>
          <w:color w:val="FF0000"/>
          <w:kern w:val="0"/>
          <w:szCs w:val="24"/>
        </w:rPr>
        <w:t>。 “关键词”字样用小四号、黑体。关键词内容采用小四号、宋体、1.5倍</w:t>
      </w:r>
      <w:r>
        <w:rPr>
          <w:rFonts w:ascii="黑体" w:hAnsi="黑体" w:eastAsia="黑体"/>
          <w:color w:val="FF0000"/>
          <w:kern w:val="0"/>
          <w:szCs w:val="24"/>
        </w:rPr>
        <w:t>行距</w:t>
      </w:r>
      <w:r>
        <w:rPr>
          <w:rFonts w:hint="eastAsia" w:ascii="黑体" w:hAnsi="黑体" w:eastAsia="黑体"/>
          <w:color w:val="FF0000"/>
          <w:kern w:val="0"/>
          <w:szCs w:val="24"/>
        </w:rPr>
        <w:t>。关键词各</w:t>
      </w:r>
      <w:r>
        <w:rPr>
          <w:rFonts w:ascii="黑体" w:hAnsi="黑体" w:eastAsia="黑体"/>
          <w:color w:val="FF0000"/>
          <w:kern w:val="0"/>
          <w:szCs w:val="24"/>
        </w:rPr>
        <w:t>词</w:t>
      </w:r>
      <w:r>
        <w:rPr>
          <w:rFonts w:hint="eastAsia" w:ascii="黑体" w:hAnsi="黑体" w:eastAsia="黑体"/>
          <w:color w:val="FF0000"/>
          <w:kern w:val="0"/>
          <w:szCs w:val="24"/>
        </w:rPr>
        <w:t xml:space="preserve">之间用全角分号分开，最后一个关键词后不打标点符号 </w:t>
      </w:r>
    </w:p>
    <w:p w14:paraId="6F069177">
      <w:pPr>
        <w:ind w:firstLine="480"/>
        <w:rPr>
          <w:rFonts w:ascii="Times New Roman" w:hAnsi="Times New Roman" w:eastAsia="宋体" w:cs="宋体"/>
          <w:color w:val="FF0000"/>
          <w:kern w:val="0"/>
          <w:szCs w:val="24"/>
        </w:rPr>
      </w:pPr>
      <w:r>
        <w:rPr>
          <w:rFonts w:ascii="Times New Roman" w:hAnsi="Times New Roman" w:eastAsia="宋体" w:cs="宋体"/>
          <w:color w:val="FF0000"/>
          <w:kern w:val="0"/>
          <w:szCs w:val="24"/>
        </w:rPr>
        <mc:AlternateContent>
          <mc:Choice Requires="wps">
            <w:drawing>
              <wp:anchor distT="0" distB="0" distL="114300" distR="114300" simplePos="0" relativeHeight="251661312" behindDoc="0" locked="0" layoutInCell="1" allowOverlap="1">
                <wp:simplePos x="0" y="0"/>
                <wp:positionH relativeFrom="column">
                  <wp:posOffset>2447290</wp:posOffset>
                </wp:positionH>
                <wp:positionV relativeFrom="paragraph">
                  <wp:posOffset>429260</wp:posOffset>
                </wp:positionV>
                <wp:extent cx="2829560" cy="594995"/>
                <wp:effectExtent l="5080" t="4445" r="15240" b="863600"/>
                <wp:wrapNone/>
                <wp:docPr id="11" name="矩形标注 11"/>
                <wp:cNvGraphicFramePr/>
                <a:graphic xmlns:a="http://schemas.openxmlformats.org/drawingml/2006/main">
                  <a:graphicData uri="http://schemas.microsoft.com/office/word/2010/wordprocessingShape">
                    <wps:wsp>
                      <wps:cNvSpPr>
                        <a:spLocks noChangeArrowheads="1"/>
                      </wps:cNvSpPr>
                      <wps:spPr bwMode="auto">
                        <a:xfrm>
                          <a:off x="0" y="0"/>
                          <a:ext cx="2829560" cy="594995"/>
                        </a:xfrm>
                        <a:prstGeom prst="wedgeRectCallout">
                          <a:avLst>
                            <a:gd name="adj1" fmla="val -37454"/>
                            <a:gd name="adj2" fmla="val 190449"/>
                          </a:avLst>
                        </a:prstGeom>
                        <a:solidFill>
                          <a:srgbClr val="FFFFFF"/>
                        </a:solidFill>
                        <a:ln w="9525">
                          <a:solidFill>
                            <a:srgbClr val="000000"/>
                          </a:solidFill>
                          <a:miter lim="800000"/>
                        </a:ln>
                        <a:effectLst/>
                      </wps:spPr>
                      <wps:txbx>
                        <w:txbxContent>
                          <w:p w14:paraId="4300B8A9">
                            <w:pPr>
                              <w:pStyle w:val="10"/>
                              <w:rPr>
                                <w:rFonts w:hint="eastAsia" w:ascii="黑体" w:hAnsi="黑体" w:eastAsia="黑体" w:cs="黑体"/>
                                <w:color w:val="FF0000"/>
                              </w:rPr>
                            </w:pPr>
                            <w:r>
                              <w:rPr>
                                <w:rFonts w:hint="eastAsia" w:ascii="黑体" w:hAnsi="黑体" w:eastAsia="黑体" w:cs="黑体"/>
                                <w:color w:val="FF0000"/>
                              </w:rPr>
                              <w:t>封面、摘要、目录部分页码选用大写罗马数字，居中，如：Ⅰ，Ⅱ，Ⅲ，Ⅳ。</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192.7pt;margin-top:33.8pt;height:46.85pt;width:222.8pt;z-index:251661312;mso-width-relative:page;mso-height-relative:page;" fillcolor="#FFFFFF" filled="t" stroked="t" coordsize="21600,21600" o:gfxdata="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SJlVO2AAAAAoBAAAPAAAAAAAAAAEAIAAAACIAAABkcnMv&#10;ZG93bnJldi54bWxQSwECFAAUAAAACACHTuJARwc1anUCAADvBAAADgAAAAAAAAABACAAAAAnAQAA&#10;ZHJzL2Uyb0RvYy54bWxQSwUGAAAAAAYABgBZAQAADgYAAAAA&#10;" adj="2710,51937">
                <v:path/>
                <v:fill on="t" focussize="0,0"/>
                <v:stroke joinstyle="miter"/>
                <v:imagedata o:title=""/>
                <o:lock v:ext="edit" aspectratio="f"/>
                <v:textbox>
                  <w:txbxContent>
                    <w:p w14:paraId="4300B8A9">
                      <w:pPr>
                        <w:pStyle w:val="10"/>
                        <w:rPr>
                          <w:rFonts w:hint="eastAsia" w:ascii="黑体" w:hAnsi="黑体" w:eastAsia="黑体" w:cs="黑体"/>
                          <w:color w:val="FF0000"/>
                        </w:rPr>
                      </w:pPr>
                      <w:r>
                        <w:rPr>
                          <w:rFonts w:hint="eastAsia" w:ascii="黑体" w:hAnsi="黑体" w:eastAsia="黑体" w:cs="黑体"/>
                          <w:color w:val="FF0000"/>
                        </w:rPr>
                        <w:t>封面、摘要、目录部分页码选用大写罗马数字，居中，如：Ⅰ，Ⅱ，Ⅲ，Ⅳ。</w:t>
                      </w:r>
                    </w:p>
                  </w:txbxContent>
                </v:textbox>
              </v:shape>
            </w:pict>
          </mc:Fallback>
        </mc:AlternateContent>
      </w:r>
    </w:p>
    <w:p w14:paraId="15B6B52A">
      <w:pPr>
        <w:rPr>
          <w:rFonts w:ascii="Times New Roman" w:hAnsi="Times New Roman" w:eastAsia="宋体" w:cs="宋体"/>
          <w:color w:val="FF0000"/>
          <w:kern w:val="0"/>
          <w:szCs w:val="24"/>
        </w:rPr>
      </w:pPr>
    </w:p>
    <w:p w14:paraId="3DC62B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黑体" w:hAnsi="黑体" w:eastAsia="黑体" w:cs="黑体"/>
          <w:sz w:val="30"/>
          <w:szCs w:val="30"/>
        </w:rPr>
      </w:pPr>
      <w:r>
        <w:rPr>
          <w:rFonts w:hint="eastAsia" w:ascii="黑体" w:hAnsi="黑体" w:eastAsia="黑体" w:cs="黑体"/>
          <w:sz w:val="30"/>
          <w:szCs w:val="30"/>
        </w:rPr>
        <w:br w:type="page"/>
      </w:r>
      <w:r>
        <w:rPr>
          <w:rFonts w:hint="eastAsia" w:ascii="黑体" w:hAnsi="黑体" w:eastAsia="黑体" w:cs="黑体"/>
          <w:sz w:val="30"/>
          <w:szCs w:val="30"/>
        </w:rPr>
        <w:t>目  录</w:t>
      </w:r>
    </w:p>
    <w:p w14:paraId="062628F0">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TOC \o "1-3" \h \u </w:instrText>
      </w:r>
      <w:r>
        <w:rPr>
          <w:rFonts w:hint="eastAsia" w:ascii="宋体" w:hAnsi="宋体" w:eastAsia="宋体" w:cs="宋体"/>
          <w:b/>
          <w:bCs/>
          <w:sz w:val="30"/>
          <w:szCs w:val="30"/>
        </w:rPr>
        <w:fldChar w:fldCharType="separate"/>
      </w:r>
      <w:r>
        <w:fldChar w:fldCharType="begin"/>
      </w:r>
      <w:r>
        <w:instrText xml:space="preserve"> HYPERLINK \l "_Toc10982" </w:instrText>
      </w:r>
      <w:r>
        <w:fldChar w:fldCharType="separate"/>
      </w:r>
      <w:r>
        <w:rPr>
          <w:rFonts w:hint="eastAsia" w:ascii="宋体" w:hAnsi="宋体" w:eastAsia="宋体" w:cs="宋体"/>
          <w:bCs/>
          <w:szCs w:val="24"/>
        </w:rPr>
        <w:t>一、 绪 论</w:t>
      </w:r>
      <w:r>
        <w:rPr>
          <w:rFonts w:hint="eastAsia" w:ascii="宋体" w:hAnsi="宋体" w:eastAsia="宋体" w:cs="宋体"/>
          <w:szCs w:val="24"/>
        </w:rPr>
        <w:tab/>
      </w:r>
      <w:r>
        <w:rPr>
          <w:rFonts w:hint="eastAsia" w:ascii="宋体" w:hAnsi="宋体" w:eastAsia="宋体" w:cs="宋体"/>
          <w:szCs w:val="24"/>
          <w:lang w:val="en-US" w:eastAsia="zh-CN"/>
        </w:rPr>
        <w:t>1</w:t>
      </w:r>
      <w:r>
        <w:rPr>
          <w:rFonts w:hint="eastAsia" w:ascii="宋体" w:hAnsi="宋体" w:eastAsia="宋体" w:cs="宋体"/>
          <w:szCs w:val="24"/>
        </w:rPr>
        <w:fldChar w:fldCharType="end"/>
      </w:r>
    </w:p>
    <w:p w14:paraId="40B4BF38">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240" w:firstLineChars="100"/>
        <w:textAlignment w:val="auto"/>
        <w:rPr>
          <w:rFonts w:ascii="宋体" w:hAnsi="宋体" w:eastAsia="宋体" w:cs="宋体"/>
          <w:szCs w:val="24"/>
        </w:rPr>
      </w:pPr>
      <w:r>
        <w:fldChar w:fldCharType="begin"/>
      </w:r>
      <w:r>
        <w:instrText xml:space="preserve"> HYPERLINK \l "_Toc17377" </w:instrText>
      </w:r>
      <w:r>
        <w:fldChar w:fldCharType="separate"/>
      </w:r>
      <w:r>
        <w:rPr>
          <w:rFonts w:hint="eastAsia" w:ascii="宋体" w:hAnsi="宋体" w:eastAsia="宋体" w:cs="宋体"/>
          <w:bCs/>
          <w:szCs w:val="24"/>
        </w:rPr>
        <w:t>（一）研究背景和意义</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_Toc17377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30D9698B">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320" w:firstLineChars="100"/>
        <w:textAlignment w:val="auto"/>
        <w:rPr>
          <w:rFonts w:ascii="宋体" w:hAnsi="宋体" w:eastAsia="宋体" w:cs="宋体"/>
          <w:szCs w:val="24"/>
        </w:rPr>
      </w:pPr>
      <w:r>
        <w:rPr>
          <w:rFonts w:ascii="黑体" w:hAnsi="黑体" w:eastAsia="黑体"/>
          <w:sz w:val="32"/>
          <w:szCs w:val="32"/>
        </w:rPr>
        <mc:AlternateContent>
          <mc:Choice Requires="wps">
            <w:drawing>
              <wp:anchor distT="0" distB="0" distL="114300" distR="114300" simplePos="0" relativeHeight="251660288" behindDoc="0" locked="0" layoutInCell="1" allowOverlap="1">
                <wp:simplePos x="0" y="0"/>
                <wp:positionH relativeFrom="column">
                  <wp:posOffset>2842260</wp:posOffset>
                </wp:positionH>
                <wp:positionV relativeFrom="paragraph">
                  <wp:posOffset>266065</wp:posOffset>
                </wp:positionV>
                <wp:extent cx="1617345" cy="777240"/>
                <wp:effectExtent l="946150" t="893445" r="12065" b="5715"/>
                <wp:wrapNone/>
                <wp:docPr id="10" name="圆角矩形标注 10"/>
                <wp:cNvGraphicFramePr/>
                <a:graphic xmlns:a="http://schemas.openxmlformats.org/drawingml/2006/main">
                  <a:graphicData uri="http://schemas.microsoft.com/office/word/2010/wordprocessingShape">
                    <wps:wsp>
                      <wps:cNvSpPr>
                        <a:spLocks noChangeArrowheads="1"/>
                      </wps:cNvSpPr>
                      <wps:spPr bwMode="auto">
                        <a:xfrm>
                          <a:off x="0" y="0"/>
                          <a:ext cx="1617345" cy="777240"/>
                        </a:xfrm>
                        <a:prstGeom prst="wedgeRoundRectCallout">
                          <a:avLst>
                            <a:gd name="adj1" fmla="val -106458"/>
                            <a:gd name="adj2" fmla="val -162093"/>
                            <a:gd name="adj3" fmla="val 16667"/>
                          </a:avLst>
                        </a:prstGeom>
                        <a:solidFill>
                          <a:srgbClr val="FFFFFF">
                            <a:lumMod val="100000"/>
                            <a:lumOff val="0"/>
                          </a:srgbClr>
                        </a:solidFill>
                        <a:ln w="9525">
                          <a:solidFill>
                            <a:srgbClr val="000000"/>
                          </a:solidFill>
                          <a:miter lim="800000"/>
                        </a:ln>
                        <a:effectLst/>
                      </wps:spPr>
                      <wps:txbx>
                        <w:txbxContent>
                          <w:p w14:paraId="0D41E4B3">
                            <w:pPr>
                              <w:spacing w:line="240" w:lineRule="auto"/>
                              <w:ind w:firstLine="0" w:firstLineChars="0"/>
                              <w:rPr>
                                <w:rFonts w:ascii="黑体" w:hAnsi="黑体" w:eastAsia="黑体"/>
                                <w:bCs/>
                                <w:color w:val="FF0000"/>
                                <w:szCs w:val="21"/>
                              </w:rPr>
                            </w:pPr>
                            <w:r>
                              <w:rPr>
                                <w:rFonts w:hint="eastAsia" w:ascii="黑体" w:hAnsi="黑体" w:eastAsia="黑体"/>
                                <w:bCs/>
                                <w:color w:val="FF0000"/>
                                <w:szCs w:val="21"/>
                              </w:rPr>
                              <w:t>一级</w:t>
                            </w:r>
                            <w:r>
                              <w:rPr>
                                <w:rFonts w:ascii="黑体" w:hAnsi="黑体" w:eastAsia="黑体"/>
                                <w:bCs/>
                                <w:color w:val="FF0000"/>
                                <w:szCs w:val="21"/>
                              </w:rPr>
                              <w:t>目录顶格</w:t>
                            </w:r>
                          </w:p>
                          <w:p w14:paraId="7307B8BA">
                            <w:pPr>
                              <w:spacing w:line="240" w:lineRule="auto"/>
                              <w:ind w:firstLine="0" w:firstLineChars="0"/>
                              <w:rPr>
                                <w:rFonts w:ascii="黑体" w:hAnsi="黑体" w:eastAsia="黑体"/>
                                <w:bCs/>
                                <w:color w:val="FF0000"/>
                                <w:szCs w:val="21"/>
                              </w:rPr>
                            </w:pPr>
                            <w:r>
                              <w:rPr>
                                <w:rFonts w:hint="eastAsia" w:ascii="黑体" w:hAnsi="黑体" w:eastAsia="黑体"/>
                                <w:bCs/>
                                <w:color w:val="FF0000"/>
                                <w:szCs w:val="21"/>
                              </w:rPr>
                              <w:t>二级目录前空一格</w:t>
                            </w:r>
                          </w:p>
                          <w:p w14:paraId="2E095CBC">
                            <w:pPr>
                              <w:spacing w:line="240" w:lineRule="auto"/>
                              <w:ind w:firstLine="0" w:firstLineChars="0"/>
                              <w:rPr>
                                <w:rFonts w:ascii="黑体" w:hAnsi="黑体" w:eastAsia="黑体"/>
                                <w:bCs/>
                                <w:color w:val="FF0000"/>
                                <w:szCs w:val="21"/>
                              </w:rPr>
                            </w:pPr>
                            <w:r>
                              <w:rPr>
                                <w:rFonts w:hint="eastAsia" w:ascii="黑体" w:hAnsi="黑体" w:eastAsia="黑体"/>
                                <w:bCs/>
                                <w:color w:val="FF0000"/>
                                <w:szCs w:val="21"/>
                              </w:rPr>
                              <w:t>三级目录前空两格</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3.8pt;margin-top:20.95pt;height:61.2pt;width:127.35pt;z-index:251660288;mso-width-relative:page;mso-height-relative:page;" fillcolor="#FFFFFF" filled="t" stroked="t" coordsize="21600,21600" o:gfxdata="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6k/iI9kAAAAKAQAADwAAAAAAAAABACAAAAAiAAAAZHJzL2Rvd25y&#10;ZXYueG1sUEsBAhQAFAAAAAgAh07iQCyHZfCoAgAAVgUAAA4AAAAAAAAAAQAgAAAAKAEAAGRycy9l&#10;Mm9Eb2MueG1sUEsFBgAAAAAGAAYAWQEAAEIGAAAAAA==&#10;" adj="-12195,-24212,14400">
                <v:path/>
                <v:fill on="t" focussize="0,0"/>
                <v:stroke joinstyle="miter"/>
                <v:imagedata o:title=""/>
                <o:lock v:ext="edit" aspectratio="f"/>
                <v:textbox>
                  <w:txbxContent>
                    <w:p w14:paraId="0D41E4B3">
                      <w:pPr>
                        <w:spacing w:line="240" w:lineRule="auto"/>
                        <w:ind w:firstLine="0" w:firstLineChars="0"/>
                        <w:rPr>
                          <w:rFonts w:ascii="黑体" w:hAnsi="黑体" w:eastAsia="黑体"/>
                          <w:bCs/>
                          <w:color w:val="FF0000"/>
                          <w:szCs w:val="21"/>
                        </w:rPr>
                      </w:pPr>
                      <w:r>
                        <w:rPr>
                          <w:rFonts w:hint="eastAsia" w:ascii="黑体" w:hAnsi="黑体" w:eastAsia="黑体"/>
                          <w:bCs/>
                          <w:color w:val="FF0000"/>
                          <w:szCs w:val="21"/>
                        </w:rPr>
                        <w:t>一级</w:t>
                      </w:r>
                      <w:r>
                        <w:rPr>
                          <w:rFonts w:ascii="黑体" w:hAnsi="黑体" w:eastAsia="黑体"/>
                          <w:bCs/>
                          <w:color w:val="FF0000"/>
                          <w:szCs w:val="21"/>
                        </w:rPr>
                        <w:t>目录顶格</w:t>
                      </w:r>
                    </w:p>
                    <w:p w14:paraId="7307B8BA">
                      <w:pPr>
                        <w:spacing w:line="240" w:lineRule="auto"/>
                        <w:ind w:firstLine="0" w:firstLineChars="0"/>
                        <w:rPr>
                          <w:rFonts w:ascii="黑体" w:hAnsi="黑体" w:eastAsia="黑体"/>
                          <w:bCs/>
                          <w:color w:val="FF0000"/>
                          <w:szCs w:val="21"/>
                        </w:rPr>
                      </w:pPr>
                      <w:r>
                        <w:rPr>
                          <w:rFonts w:hint="eastAsia" w:ascii="黑体" w:hAnsi="黑体" w:eastAsia="黑体"/>
                          <w:bCs/>
                          <w:color w:val="FF0000"/>
                          <w:szCs w:val="21"/>
                        </w:rPr>
                        <w:t>二级目录前空一格</w:t>
                      </w:r>
                    </w:p>
                    <w:p w14:paraId="2E095CBC">
                      <w:pPr>
                        <w:spacing w:line="240" w:lineRule="auto"/>
                        <w:ind w:firstLine="0" w:firstLineChars="0"/>
                        <w:rPr>
                          <w:rFonts w:ascii="黑体" w:hAnsi="黑体" w:eastAsia="黑体"/>
                          <w:bCs/>
                          <w:color w:val="FF0000"/>
                          <w:szCs w:val="21"/>
                        </w:rPr>
                      </w:pPr>
                      <w:r>
                        <w:rPr>
                          <w:rFonts w:hint="eastAsia" w:ascii="黑体" w:hAnsi="黑体" w:eastAsia="黑体"/>
                          <w:bCs/>
                          <w:color w:val="FF0000"/>
                          <w:szCs w:val="21"/>
                        </w:rPr>
                        <w:t>三级目录前空两格</w:t>
                      </w:r>
                    </w:p>
                  </w:txbxContent>
                </v:textbox>
              </v:shape>
            </w:pict>
          </mc:Fallback>
        </mc:AlternateContent>
      </w:r>
      <w:r>
        <w:fldChar w:fldCharType="begin"/>
      </w:r>
      <w:r>
        <w:instrText xml:space="preserve"> HYPERLINK \l "_Toc16220" </w:instrText>
      </w:r>
      <w:r>
        <w:fldChar w:fldCharType="separate"/>
      </w:r>
      <w:r>
        <w:rPr>
          <w:rFonts w:hint="eastAsia" w:ascii="宋体" w:hAnsi="宋体" w:eastAsia="宋体" w:cs="宋体"/>
          <w:bCs/>
          <w:szCs w:val="24"/>
        </w:rPr>
        <w:t>（二）国内外相关研究综述</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_Toc16220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70E25346">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"_Toc9485" </w:instrText>
      </w:r>
      <w:r>
        <w:fldChar w:fldCharType="separate"/>
      </w:r>
      <w:r>
        <w:rPr>
          <w:rFonts w:hint="eastAsia" w:ascii="宋体" w:hAnsi="宋体" w:eastAsia="宋体" w:cs="宋体"/>
          <w:szCs w:val="24"/>
        </w:rPr>
        <w:t>1.国外研究现状</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_Toc9485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54AB84E8">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"_Toc15616" </w:instrText>
      </w:r>
      <w:r>
        <w:fldChar w:fldCharType="separate"/>
      </w:r>
      <w:r>
        <w:rPr>
          <w:rFonts w:hint="eastAsia" w:ascii="宋体" w:hAnsi="宋体" w:eastAsia="宋体" w:cs="宋体"/>
          <w:szCs w:val="24"/>
        </w:rPr>
        <w:t>2.国内研究现状</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_Toc15616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7FEAD5FA">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"_Toc10820" </w:instrText>
      </w:r>
      <w:r>
        <w:fldChar w:fldCharType="separate"/>
      </w:r>
      <w:r>
        <w:rPr>
          <w:rFonts w:hint="eastAsia" w:ascii="宋体" w:hAnsi="宋体" w:eastAsia="宋体" w:cs="宋体"/>
          <w:szCs w:val="24"/>
        </w:rPr>
        <w:t>3.文献述评</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_Toc10820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4C175F52">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"_Toc21137" </w:instrText>
      </w:r>
      <w:r>
        <w:fldChar w:fldCharType="separate"/>
      </w:r>
      <w:r>
        <w:rPr>
          <w:rFonts w:hint="eastAsia" w:ascii="宋体" w:hAnsi="宋体" w:eastAsia="宋体" w:cs="宋体"/>
          <w:bCs/>
          <w:szCs w:val="24"/>
        </w:rPr>
        <w:t>（三）研究思路和内容</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_Toc21137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65BEE13C">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"_Toc6928" </w:instrText>
      </w:r>
      <w:r>
        <w:fldChar w:fldCharType="separate"/>
      </w:r>
      <w:r>
        <w:rPr>
          <w:rFonts w:hint="eastAsia" w:ascii="宋体" w:hAnsi="宋体" w:eastAsia="宋体" w:cs="宋体"/>
          <w:szCs w:val="24"/>
        </w:rPr>
        <w:t>1.研究思路</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_Toc6928 \h </w:instrText>
      </w:r>
      <w:r>
        <w:rPr>
          <w:rFonts w:hint="eastAsia" w:ascii="宋体" w:hAnsi="宋体" w:eastAsia="宋体" w:cs="宋体"/>
          <w:szCs w:val="24"/>
        </w:rPr>
        <w:fldChar w:fldCharType="separate"/>
      </w:r>
      <w:r>
        <w:rPr>
          <w:rFonts w:hint="eastAsia" w:ascii="宋体" w:hAnsi="宋体" w:eastAsia="宋体" w:cs="宋体"/>
          <w:szCs w:val="24"/>
        </w:rPr>
        <w:t>1</w:t>
      </w:r>
      <w:r>
        <w:rPr>
          <w:rFonts w:hint="eastAsia" w:ascii="宋体" w:hAnsi="宋体" w:eastAsia="宋体" w:cs="宋体"/>
          <w:szCs w:val="24"/>
        </w:rPr>
        <w:fldChar w:fldCharType="end"/>
      </w:r>
      <w:r>
        <w:rPr>
          <w:rFonts w:hint="eastAsia" w:ascii="宋体" w:hAnsi="宋体" w:eastAsia="宋体" w:cs="宋体"/>
          <w:szCs w:val="24"/>
        </w:rPr>
        <w:fldChar w:fldCharType="end"/>
      </w:r>
    </w:p>
    <w:p w14:paraId="4987DC7A">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"_Toc2127" </w:instrText>
      </w:r>
      <w:r>
        <w:fldChar w:fldCharType="separate"/>
      </w:r>
      <w:r>
        <w:rPr>
          <w:rFonts w:hint="eastAsia" w:ascii="宋体" w:hAnsi="宋体" w:eastAsia="宋体" w:cs="宋体"/>
          <w:szCs w:val="24"/>
        </w:rPr>
        <w:t>2.研究方法</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_Toc2127 \h </w:instrText>
      </w:r>
      <w:r>
        <w:rPr>
          <w:rFonts w:hint="eastAsia" w:ascii="宋体" w:hAnsi="宋体" w:eastAsia="宋体" w:cs="宋体"/>
          <w:szCs w:val="24"/>
        </w:rPr>
        <w:fldChar w:fldCharType="separate"/>
      </w:r>
      <w:r>
        <w:rPr>
          <w:rFonts w:hint="eastAsia" w:ascii="宋体" w:hAnsi="宋体" w:eastAsia="宋体" w:cs="宋体"/>
          <w:szCs w:val="24"/>
        </w:rPr>
        <w:t>2</w:t>
      </w:r>
      <w:r>
        <w:rPr>
          <w:rFonts w:hint="eastAsia" w:ascii="宋体" w:hAnsi="宋体" w:eastAsia="宋体" w:cs="宋体"/>
          <w:szCs w:val="24"/>
        </w:rPr>
        <w:fldChar w:fldCharType="end"/>
      </w:r>
      <w:r>
        <w:rPr>
          <w:rFonts w:hint="eastAsia" w:ascii="宋体" w:hAnsi="宋体" w:eastAsia="宋体" w:cs="宋体"/>
          <w:szCs w:val="24"/>
        </w:rPr>
        <w:fldChar w:fldCharType="end"/>
      </w:r>
    </w:p>
    <w:p w14:paraId="1FC56186">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"_Toc2952" </w:instrText>
      </w:r>
      <w:r>
        <w:fldChar w:fldCharType="separate"/>
      </w:r>
      <w:r>
        <w:rPr>
          <w:rFonts w:hint="eastAsia" w:ascii="宋体" w:hAnsi="宋体" w:eastAsia="宋体" w:cs="宋体"/>
          <w:szCs w:val="24"/>
        </w:rPr>
        <w:t>3.研究内容</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_Toc2952 \h </w:instrText>
      </w:r>
      <w:r>
        <w:rPr>
          <w:rFonts w:hint="eastAsia" w:ascii="宋体" w:hAnsi="宋体" w:eastAsia="宋体" w:cs="宋体"/>
          <w:szCs w:val="24"/>
        </w:rPr>
        <w:fldChar w:fldCharType="separate"/>
      </w:r>
      <w:r>
        <w:rPr>
          <w:rFonts w:hint="eastAsia" w:ascii="宋体" w:hAnsi="宋体" w:eastAsia="宋体" w:cs="宋体"/>
          <w:szCs w:val="24"/>
        </w:rPr>
        <w:t>2</w:t>
      </w:r>
      <w:r>
        <w:rPr>
          <w:rFonts w:hint="eastAsia" w:ascii="宋体" w:hAnsi="宋体" w:eastAsia="宋体" w:cs="宋体"/>
          <w:szCs w:val="24"/>
        </w:rPr>
        <w:fldChar w:fldCharType="end"/>
      </w:r>
      <w:r>
        <w:rPr>
          <w:rFonts w:hint="eastAsia" w:ascii="宋体" w:hAnsi="宋体" w:eastAsia="宋体" w:cs="宋体"/>
          <w:szCs w:val="24"/>
        </w:rPr>
        <w:fldChar w:fldCharType="end"/>
      </w:r>
    </w:p>
    <w:p w14:paraId="7767BD96">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fldChar w:fldCharType="begin"/>
      </w:r>
      <w:r>
        <w:instrText xml:space="preserve"> HYPERLINK \l "_Toc12226" </w:instrText>
      </w:r>
      <w:r>
        <w:fldChar w:fldCharType="separate"/>
      </w:r>
      <w:r>
        <w:rPr>
          <w:rFonts w:hint="eastAsia" w:ascii="宋体" w:hAnsi="宋体" w:eastAsia="宋体" w:cs="宋体"/>
          <w:bCs/>
          <w:szCs w:val="24"/>
        </w:rPr>
        <w:t>二、相关概念界定和理论基础</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_Toc12226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234B86B7">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"_Toc25766" </w:instrText>
      </w:r>
      <w:r>
        <w:fldChar w:fldCharType="separate"/>
      </w:r>
      <w:r>
        <w:rPr>
          <w:rFonts w:hint="eastAsia" w:ascii="宋体" w:hAnsi="宋体" w:eastAsia="宋体" w:cs="宋体"/>
          <w:bCs/>
          <w:szCs w:val="24"/>
        </w:rPr>
        <w:t>（一）相关概念的界定</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_Toc25766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7739A9C3">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"_Toc30340" </w:instrText>
      </w:r>
      <w:r>
        <w:fldChar w:fldCharType="separate"/>
      </w:r>
      <w:r>
        <w:rPr>
          <w:rFonts w:hint="eastAsia" w:ascii="宋体" w:hAnsi="宋体" w:eastAsia="宋体" w:cs="宋体"/>
          <w:szCs w:val="24"/>
        </w:rPr>
        <w:t>1.市场营销</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_Toc30340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4BCECD07">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"_Toc21689" </w:instrText>
      </w:r>
      <w:r>
        <w:fldChar w:fldCharType="separate"/>
      </w:r>
      <w:r>
        <w:rPr>
          <w:rFonts w:hint="eastAsia" w:ascii="宋体" w:hAnsi="宋体" w:eastAsia="宋体" w:cs="宋体"/>
          <w:szCs w:val="24"/>
        </w:rPr>
        <w:t>2.餐饮营销</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_Toc21689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6F45AF71">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"_Toc20058" </w:instrText>
      </w:r>
      <w:r>
        <w:fldChar w:fldCharType="separate"/>
      </w:r>
      <w:r>
        <w:rPr>
          <w:rFonts w:hint="eastAsia" w:ascii="宋体" w:hAnsi="宋体" w:eastAsia="宋体" w:cs="宋体"/>
          <w:bCs/>
          <w:szCs w:val="24"/>
        </w:rPr>
        <w:t>（二）理论基础</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_Toc20058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70D1FD31">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Cs w:val="24"/>
        </w:rPr>
      </w:pPr>
      <w:r>
        <w:fldChar w:fldCharType="begin"/>
      </w:r>
      <w:r>
        <w:instrText xml:space="preserve"> HYPERLINK \l "_Toc30120" </w:instrText>
      </w:r>
      <w:r>
        <w:fldChar w:fldCharType="separate"/>
      </w:r>
      <w:r>
        <w:rPr>
          <w:rFonts w:hint="eastAsia" w:ascii="宋体" w:hAnsi="宋体" w:eastAsia="宋体" w:cs="宋体"/>
          <w:szCs w:val="24"/>
        </w:rPr>
        <w:t>1.7P 营销理论</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_Toc30120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23FC53A1">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Cs w:val="24"/>
        </w:rPr>
      </w:pPr>
      <w:r>
        <w:rPr>
          <w:rFonts w:hint="eastAsia" w:ascii="宋体" w:hAnsi="宋体" w:eastAsia="宋体" w:cs="宋体"/>
          <w:szCs w:val="24"/>
          <w:lang w:val="en-US" w:eastAsia="zh-CN"/>
        </w:rPr>
        <w:t>2.顾客满意度理论</w:t>
      </w:r>
      <w:r>
        <w:rPr>
          <w:rFonts w:hint="eastAsia" w:ascii="宋体" w:hAnsi="宋体" w:eastAsia="宋体" w:cs="宋体"/>
          <w:szCs w:val="24"/>
        </w:rPr>
        <w:tab/>
      </w:r>
      <w:r>
        <w:rPr>
          <w:rFonts w:hint="eastAsia" w:ascii="宋体" w:hAnsi="宋体" w:eastAsia="宋体" w:cs="宋体"/>
          <w:szCs w:val="24"/>
        </w:rPr>
        <w:t>3</w:t>
      </w:r>
    </w:p>
    <w:p w14:paraId="5E68D258">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"_Toc4187" </w:instrText>
      </w:r>
      <w:r>
        <w:fldChar w:fldCharType="separate"/>
      </w:r>
      <w:r>
        <w:rPr>
          <w:rFonts w:hint="eastAsia" w:ascii="宋体" w:hAnsi="宋体" w:eastAsia="宋体" w:cs="宋体"/>
          <w:bCs/>
          <w:szCs w:val="24"/>
        </w:rPr>
        <w:t>（三）分析工具</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_Toc4187 \h </w:instrText>
      </w:r>
      <w:r>
        <w:rPr>
          <w:rFonts w:hint="eastAsia" w:ascii="宋体" w:hAnsi="宋体" w:eastAsia="宋体" w:cs="宋体"/>
          <w:szCs w:val="24"/>
        </w:rPr>
        <w:fldChar w:fldCharType="separate"/>
      </w:r>
      <w:r>
        <w:rPr>
          <w:rFonts w:hint="eastAsia" w:ascii="宋体" w:hAnsi="宋体" w:eastAsia="宋体" w:cs="宋体"/>
          <w:szCs w:val="24"/>
        </w:rPr>
        <w:t>3</w:t>
      </w:r>
      <w:r>
        <w:rPr>
          <w:rFonts w:hint="eastAsia" w:ascii="宋体" w:hAnsi="宋体" w:eastAsia="宋体" w:cs="宋体"/>
          <w:szCs w:val="24"/>
        </w:rPr>
        <w:fldChar w:fldCharType="end"/>
      </w:r>
      <w:r>
        <w:rPr>
          <w:rFonts w:hint="eastAsia" w:ascii="宋体" w:hAnsi="宋体" w:eastAsia="宋体" w:cs="宋体"/>
          <w:szCs w:val="24"/>
        </w:rPr>
        <w:fldChar w:fldCharType="end"/>
      </w:r>
    </w:p>
    <w:p w14:paraId="18960D38">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fldChar w:fldCharType="begin"/>
      </w:r>
      <w:r>
        <w:instrText xml:space="preserve"> HYPERLINK \l "_Toc26335" </w:instrText>
      </w:r>
      <w:r>
        <w:fldChar w:fldCharType="separate"/>
      </w:r>
      <w:r>
        <w:rPr>
          <w:rFonts w:hint="eastAsia" w:ascii="宋体" w:hAnsi="宋体" w:eastAsia="宋体" w:cs="宋体"/>
          <w:bCs/>
          <w:szCs w:val="24"/>
        </w:rPr>
        <w:t>三、H餐饮公司服务营销现状及环境分析</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_Toc26335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64102E52">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240" w:firstLineChars="100"/>
        <w:textAlignment w:val="auto"/>
        <w:rPr>
          <w:rFonts w:ascii="宋体" w:hAnsi="宋体" w:eastAsia="宋体" w:cs="宋体"/>
          <w:szCs w:val="24"/>
        </w:rPr>
      </w:pPr>
      <w:r>
        <w:fldChar w:fldCharType="begin"/>
      </w:r>
      <w:r>
        <w:instrText xml:space="preserve"> HYPERLINK \l "_Toc9770" </w:instrText>
      </w:r>
      <w:r>
        <w:fldChar w:fldCharType="separate"/>
      </w:r>
      <w:r>
        <w:rPr>
          <w:rFonts w:hint="eastAsia" w:ascii="宋体" w:hAnsi="宋体" w:eastAsia="宋体" w:cs="宋体"/>
          <w:szCs w:val="24"/>
        </w:rPr>
        <w:t>（一）H餐饮公司简介</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_Toc9770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5C7769D9">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"_Toc15287" </w:instrText>
      </w:r>
      <w:r>
        <w:fldChar w:fldCharType="separate"/>
      </w:r>
      <w:r>
        <w:rPr>
          <w:rFonts w:hint="eastAsia" w:ascii="宋体" w:hAnsi="宋体" w:eastAsia="宋体" w:cs="宋体"/>
          <w:szCs w:val="24"/>
        </w:rPr>
        <w:t>（二）H餐饮公司服务营销现状</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_Toc15287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254DE235">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"_Toc27894" </w:instrText>
      </w:r>
      <w:r>
        <w:fldChar w:fldCharType="separate"/>
      </w:r>
      <w:r>
        <w:rPr>
          <w:rFonts w:hint="eastAsia" w:ascii="宋体" w:hAnsi="宋体" w:eastAsia="宋体" w:cs="宋体"/>
          <w:szCs w:val="24"/>
        </w:rPr>
        <w:t>1.产品现状</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_Toc27894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4A143036">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"_Toc32497" </w:instrText>
      </w:r>
      <w:r>
        <w:fldChar w:fldCharType="separate"/>
      </w:r>
      <w:r>
        <w:rPr>
          <w:rFonts w:hint="eastAsia" w:ascii="宋体" w:hAnsi="宋体" w:eastAsia="宋体" w:cs="宋体"/>
          <w:szCs w:val="24"/>
        </w:rPr>
        <w:t>2.价格现状</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_Toc32497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67F73926">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"_Toc9609" </w:instrText>
      </w:r>
      <w:r>
        <w:fldChar w:fldCharType="separate"/>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_Toc9609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31B97735">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"_Toc28241" </w:instrText>
      </w:r>
      <w:r>
        <w:fldChar w:fldCharType="separate"/>
      </w:r>
      <w:r>
        <w:rPr>
          <w:rFonts w:hint="eastAsia" w:ascii="宋体" w:hAnsi="宋体" w:eastAsia="宋体" w:cs="宋体"/>
          <w:szCs w:val="24"/>
        </w:rPr>
        <w:t>（三）H餐饮公司之 SWOT 分析</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_Toc28241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22BE7D0D">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"_Toc9666" </w:instrText>
      </w:r>
      <w:r>
        <w:fldChar w:fldCharType="separate"/>
      </w:r>
      <w:r>
        <w:rPr>
          <w:rFonts w:hint="eastAsia" w:ascii="宋体" w:hAnsi="宋体" w:eastAsia="宋体" w:cs="宋体"/>
          <w:szCs w:val="24"/>
        </w:rPr>
        <w:t>1.优势与劣势</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_Toc9666 \h </w:instrText>
      </w:r>
      <w:r>
        <w:rPr>
          <w:rFonts w:hint="eastAsia" w:ascii="宋体" w:hAnsi="宋体" w:eastAsia="宋体" w:cs="宋体"/>
          <w:szCs w:val="24"/>
        </w:rPr>
        <w:fldChar w:fldCharType="separate"/>
      </w:r>
      <w:r>
        <w:rPr>
          <w:rFonts w:hint="eastAsia" w:ascii="宋体" w:hAnsi="宋体" w:eastAsia="宋体" w:cs="宋体"/>
          <w:szCs w:val="24"/>
        </w:rPr>
        <w:t>4</w:t>
      </w:r>
      <w:r>
        <w:rPr>
          <w:rFonts w:hint="eastAsia" w:ascii="宋体" w:hAnsi="宋体" w:eastAsia="宋体" w:cs="宋体"/>
          <w:szCs w:val="24"/>
        </w:rPr>
        <w:fldChar w:fldCharType="end"/>
      </w:r>
      <w:r>
        <w:rPr>
          <w:rFonts w:hint="eastAsia" w:ascii="宋体" w:hAnsi="宋体" w:eastAsia="宋体" w:cs="宋体"/>
          <w:szCs w:val="24"/>
        </w:rPr>
        <w:fldChar w:fldCharType="end"/>
      </w:r>
    </w:p>
    <w:p w14:paraId="0F7CB95E">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"_Toc13120" </w:instrText>
      </w:r>
      <w:r>
        <w:fldChar w:fldCharType="separate"/>
      </w:r>
      <w:r>
        <w:rPr>
          <w:rFonts w:hint="eastAsia" w:ascii="宋体" w:hAnsi="宋体" w:eastAsia="宋体" w:cs="宋体"/>
          <w:szCs w:val="24"/>
        </w:rPr>
        <w:t>2.机会</w:t>
      </w:r>
      <w:r>
        <w:rPr>
          <w:rFonts w:hint="eastAsia" w:ascii="宋体" w:hAnsi="宋体" w:eastAsia="宋体" w:cs="宋体"/>
          <w:szCs w:val="24"/>
        </w:rPr>
        <w:tab/>
      </w:r>
      <w:r>
        <w:rPr>
          <w:rFonts w:hint="eastAsia" w:ascii="宋体" w:hAnsi="宋体" w:eastAsia="宋体" w:cs="宋体"/>
          <w:szCs w:val="24"/>
          <w:lang w:val="en-US" w:eastAsia="zh-CN"/>
        </w:rPr>
        <w:t>4</w:t>
      </w:r>
      <w:r>
        <w:rPr>
          <w:rFonts w:hint="eastAsia" w:ascii="宋体" w:hAnsi="宋体" w:eastAsia="宋体" w:cs="宋体"/>
          <w:szCs w:val="24"/>
        </w:rPr>
        <w:fldChar w:fldCharType="end"/>
      </w:r>
    </w:p>
    <w:p w14:paraId="73CC9001">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fldChar w:fldCharType="begin"/>
      </w:r>
      <w:r>
        <w:instrText xml:space="preserve"> HYPERLINK \l "_Toc5668" </w:instrText>
      </w:r>
      <w:r>
        <w:fldChar w:fldCharType="separate"/>
      </w:r>
      <w:r>
        <w:rPr>
          <w:rFonts w:hint="eastAsia" w:ascii="宋体" w:hAnsi="宋体" w:eastAsia="宋体" w:cs="宋体"/>
          <w:bCs/>
          <w:szCs w:val="24"/>
        </w:rPr>
        <w:t>四、H餐饮公司服务营销存在的问题</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_Toc5668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7F066E7D">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"_Toc6536" </w:instrText>
      </w:r>
      <w:r>
        <w:fldChar w:fldCharType="separate"/>
      </w:r>
      <w:r>
        <w:rPr>
          <w:rFonts w:hint="eastAsia" w:ascii="宋体" w:hAnsi="宋体" w:eastAsia="宋体" w:cs="宋体"/>
          <w:szCs w:val="24"/>
        </w:rPr>
        <w:t>（一）问卷调查</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_Toc6536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68A748A6">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"_Toc24356" </w:instrText>
      </w:r>
      <w:r>
        <w:fldChar w:fldCharType="separate"/>
      </w:r>
      <w:r>
        <w:rPr>
          <w:rFonts w:hint="eastAsia" w:ascii="宋体" w:hAnsi="宋体" w:eastAsia="宋体" w:cs="宋体"/>
          <w:szCs w:val="24"/>
        </w:rPr>
        <w:t>1.问卷设计</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_Toc24356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5D96EA0D">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"_Toc18149" </w:instrText>
      </w:r>
      <w:r>
        <w:fldChar w:fldCharType="separate"/>
      </w:r>
      <w:r>
        <w:rPr>
          <w:rFonts w:hint="eastAsia" w:ascii="宋体" w:hAnsi="宋体" w:eastAsia="宋体" w:cs="宋体"/>
          <w:szCs w:val="24"/>
        </w:rPr>
        <w:t>2.问卷发放、回收及整理</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_Toc18149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659EA502">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"_Toc11796" </w:instrText>
      </w:r>
      <w:r>
        <w:fldChar w:fldCharType="separate"/>
      </w:r>
      <w:r>
        <w:rPr>
          <w:rFonts w:hint="eastAsia" w:ascii="宋体" w:hAnsi="宋体" w:eastAsia="宋体" w:cs="宋体"/>
          <w:szCs w:val="24"/>
        </w:rPr>
        <w:t>3.调查问卷统计及分析</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_Toc11796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4C29C68F">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"_Toc1182" </w:instrText>
      </w:r>
      <w:r>
        <w:fldChar w:fldCharType="separate"/>
      </w:r>
      <w:r>
        <w:rPr>
          <w:rFonts w:hint="eastAsia" w:ascii="宋体" w:hAnsi="宋体" w:eastAsia="宋体" w:cs="宋体"/>
          <w:szCs w:val="24"/>
        </w:rPr>
        <w:t>（二）H餐饮公司服务营销策略存在的问题</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_Toc1182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71098FA7">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"_Toc26220" </w:instrText>
      </w:r>
      <w:r>
        <w:fldChar w:fldCharType="separate"/>
      </w:r>
      <w:r>
        <w:rPr>
          <w:rFonts w:hint="eastAsia" w:ascii="宋体" w:hAnsi="宋体" w:eastAsia="宋体" w:cs="宋体"/>
          <w:szCs w:val="24"/>
        </w:rPr>
        <w:t>1.人员素质不高</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_Toc26220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7DC8FCE8">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"_Toc13231" </w:instrText>
      </w:r>
      <w:r>
        <w:fldChar w:fldCharType="separate"/>
      </w:r>
      <w:r>
        <w:rPr>
          <w:rFonts w:hint="eastAsia" w:ascii="宋体" w:hAnsi="宋体" w:eastAsia="宋体" w:cs="宋体"/>
          <w:szCs w:val="24"/>
        </w:rPr>
        <w:t>2.定价方式单一</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_Toc13231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7406C789">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"_Toc19218" </w:instrText>
      </w:r>
      <w:r>
        <w:fldChar w:fldCharType="separate"/>
      </w:r>
      <w:r>
        <w:rPr>
          <w:rFonts w:hint="eastAsia" w:ascii="宋体" w:hAnsi="宋体" w:eastAsia="宋体" w:cs="宋体"/>
          <w:szCs w:val="24"/>
        </w:rPr>
        <w:t>3.产品重复率高</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_Toc19218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2A2385CD">
      <w:pPr>
        <w:keepNext w:val="0"/>
        <w:keepLines w:val="0"/>
        <w:pageBreakBefore w:val="0"/>
        <w:tabs>
          <w:tab w:val="right" w:leader="dot" w:pos="8306"/>
        </w:tabs>
        <w:kinsoku/>
        <w:wordWrap/>
        <w:overflowPunct/>
        <w:topLinePunct w:val="0"/>
        <w:autoSpaceDE/>
        <w:autoSpaceDN/>
        <w:bidi w:val="0"/>
        <w:adjustRightInd/>
        <w:snapToGrid/>
        <w:spacing w:line="360" w:lineRule="auto"/>
        <w:ind w:firstLine="480"/>
        <w:textAlignment w:val="auto"/>
        <w:rPr>
          <w:rFonts w:ascii="宋体" w:hAnsi="宋体" w:eastAsia="宋体" w:cs="宋体"/>
          <w:szCs w:val="24"/>
        </w:rPr>
      </w:pPr>
      <w:r>
        <w:fldChar w:fldCharType="begin"/>
      </w:r>
      <w:r>
        <w:instrText xml:space="preserve"> HYPERLINK \l "_Toc16852" </w:instrText>
      </w:r>
      <w:r>
        <w:fldChar w:fldCharType="separate"/>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_Toc16852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0AB1BF88">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fldChar w:fldCharType="begin"/>
      </w:r>
      <w:r>
        <w:instrText xml:space="preserve"> HYPERLINK \l "_Toc25107" </w:instrText>
      </w:r>
      <w:r>
        <w:fldChar w:fldCharType="separate"/>
      </w:r>
      <w:r>
        <w:rPr>
          <w:rFonts w:hint="eastAsia" w:ascii="宋体" w:hAnsi="宋体" w:eastAsia="宋体" w:cs="宋体"/>
          <w:bCs/>
          <w:szCs w:val="24"/>
        </w:rPr>
        <w:t>五、H餐饮公司服务营销策略的优化建议</w:t>
      </w:r>
      <w:r>
        <w:rPr>
          <w:rFonts w:hint="eastAsia" w:ascii="宋体" w:hAnsi="宋体" w:eastAsia="宋体" w:cs="宋体"/>
          <w:szCs w:val="24"/>
        </w:rPr>
        <w:tab/>
      </w:r>
      <w:r>
        <w:rPr>
          <w:rFonts w:hint="eastAsia" w:ascii="宋体" w:hAnsi="宋体" w:eastAsia="宋体" w:cs="宋体"/>
          <w:szCs w:val="24"/>
          <w:lang w:val="en-US" w:eastAsia="zh-CN"/>
        </w:rPr>
        <w:t>6</w:t>
      </w:r>
      <w:r>
        <w:rPr>
          <w:rFonts w:hint="eastAsia" w:ascii="宋体" w:hAnsi="宋体" w:eastAsia="宋体" w:cs="宋体"/>
          <w:szCs w:val="24"/>
        </w:rPr>
        <w:fldChar w:fldCharType="end"/>
      </w:r>
    </w:p>
    <w:p w14:paraId="4BB2CB7F">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"_Toc6713" </w:instrText>
      </w:r>
      <w:r>
        <w:fldChar w:fldCharType="separate"/>
      </w:r>
      <w:r>
        <w:rPr>
          <w:rFonts w:hint="eastAsia" w:ascii="宋体" w:hAnsi="宋体" w:eastAsia="宋体" w:cs="宋体"/>
          <w:szCs w:val="24"/>
        </w:rPr>
        <w:t>（一）打造高质量团队</w:t>
      </w:r>
      <w:r>
        <w:rPr>
          <w:rFonts w:hint="eastAsia" w:ascii="宋体" w:hAnsi="宋体" w:eastAsia="宋体" w:cs="宋体"/>
          <w:szCs w:val="24"/>
        </w:rPr>
        <w:tab/>
      </w:r>
      <w:r>
        <w:rPr>
          <w:rFonts w:hint="eastAsia" w:ascii="宋体" w:hAnsi="宋体" w:eastAsia="宋体" w:cs="宋体"/>
          <w:szCs w:val="24"/>
          <w:lang w:val="en-US" w:eastAsia="zh-CN"/>
        </w:rPr>
        <w:t>6</w:t>
      </w:r>
      <w:r>
        <w:rPr>
          <w:rFonts w:hint="eastAsia" w:ascii="宋体" w:hAnsi="宋体" w:eastAsia="宋体" w:cs="宋体"/>
          <w:szCs w:val="24"/>
        </w:rPr>
        <w:fldChar w:fldCharType="end"/>
      </w:r>
    </w:p>
    <w:p w14:paraId="5526C340">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Cs w:val="24"/>
        </w:rPr>
      </w:pPr>
      <w:r>
        <w:fldChar w:fldCharType="begin"/>
      </w:r>
      <w:r>
        <w:instrText xml:space="preserve"> HYPERLINK \l "_Toc32215" </w:instrText>
      </w:r>
      <w:r>
        <w:fldChar w:fldCharType="separate"/>
      </w:r>
      <w:r>
        <w:rPr>
          <w:rFonts w:hint="eastAsia" w:ascii="宋体" w:hAnsi="宋体" w:eastAsia="宋体" w:cs="宋体"/>
          <w:szCs w:val="24"/>
        </w:rPr>
        <w:t>（二）采用多元化定价策略</w:t>
      </w:r>
      <w:r>
        <w:rPr>
          <w:rFonts w:hint="eastAsia" w:ascii="宋体" w:hAnsi="宋体" w:eastAsia="宋体" w:cs="宋体"/>
          <w:szCs w:val="24"/>
        </w:rPr>
        <w:tab/>
      </w:r>
      <w:r>
        <w:rPr>
          <w:rFonts w:hint="eastAsia" w:ascii="宋体" w:hAnsi="宋体" w:eastAsia="宋体" w:cs="宋体"/>
          <w:szCs w:val="24"/>
          <w:lang w:val="en-US" w:eastAsia="zh-CN"/>
        </w:rPr>
        <w:t>6</w:t>
      </w:r>
      <w:r>
        <w:rPr>
          <w:rFonts w:hint="eastAsia" w:ascii="宋体" w:hAnsi="宋体" w:eastAsia="宋体" w:cs="宋体"/>
          <w:szCs w:val="24"/>
        </w:rPr>
        <w:fldChar w:fldCharType="end"/>
      </w:r>
    </w:p>
    <w:p w14:paraId="2FFB50A4">
      <w:pPr>
        <w:keepNext w:val="0"/>
        <w:keepLines w:val="0"/>
        <w:pageBreakBefore w:val="0"/>
        <w:tabs>
          <w:tab w:val="right" w:leader="dot" w:pos="8306"/>
        </w:tabs>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szCs w:val="24"/>
          <w:lang w:val="en-US" w:eastAsia="zh-CN"/>
        </w:rPr>
      </w:pPr>
      <w:r>
        <w:fldChar w:fldCharType="begin"/>
      </w:r>
      <w:r>
        <w:instrText xml:space="preserve"> HYPERLINK \l "_Toc20721" </w:instrText>
      </w:r>
      <w:r>
        <w:fldChar w:fldCharType="separate"/>
      </w:r>
      <w:r>
        <w:rPr>
          <w:rFonts w:hint="eastAsia" w:ascii="宋体" w:hAnsi="宋体" w:eastAsia="宋体" w:cs="宋体"/>
          <w:szCs w:val="24"/>
        </w:rPr>
        <w:tab/>
      </w:r>
      <w:r>
        <w:rPr>
          <w:rFonts w:hint="eastAsia" w:ascii="宋体" w:hAnsi="宋体" w:eastAsia="宋体" w:cs="宋体"/>
          <w:szCs w:val="24"/>
        </w:rPr>
        <w:fldChar w:fldCharType="end"/>
      </w:r>
      <w:r>
        <w:rPr>
          <w:rFonts w:hint="eastAsia" w:ascii="宋体" w:hAnsi="宋体" w:eastAsia="宋体" w:cs="宋体"/>
          <w:szCs w:val="24"/>
          <w:lang w:val="en-US" w:eastAsia="zh-CN"/>
        </w:rPr>
        <w:t>6</w:t>
      </w:r>
    </w:p>
    <w:p w14:paraId="491E4B10">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fldChar w:fldCharType="begin"/>
      </w:r>
      <w:r>
        <w:instrText xml:space="preserve"> HYPERLINK \l "_Toc31661" </w:instrText>
      </w:r>
      <w:r>
        <w:fldChar w:fldCharType="separate"/>
      </w:r>
      <w:r>
        <w:rPr>
          <w:rFonts w:hint="eastAsia" w:ascii="宋体" w:hAnsi="宋体" w:eastAsia="宋体" w:cs="宋体"/>
          <w:bCs/>
          <w:szCs w:val="24"/>
        </w:rPr>
        <w:t>六、结论</w:t>
      </w:r>
      <w:r>
        <w:rPr>
          <w:rFonts w:hint="eastAsia" w:ascii="宋体" w:hAnsi="宋体" w:eastAsia="宋体" w:cs="宋体"/>
          <w:szCs w:val="24"/>
        </w:rPr>
        <w:tab/>
      </w:r>
      <w:r>
        <w:rPr>
          <w:rFonts w:hint="eastAsia" w:ascii="宋体" w:hAnsi="宋体" w:eastAsia="宋体" w:cs="宋体"/>
          <w:szCs w:val="24"/>
          <w:lang w:val="en-US" w:eastAsia="zh-CN"/>
        </w:rPr>
        <w:t>7</w:t>
      </w:r>
      <w:r>
        <w:rPr>
          <w:rFonts w:hint="eastAsia" w:ascii="宋体" w:hAnsi="宋体" w:eastAsia="宋体" w:cs="宋体"/>
          <w:szCs w:val="24"/>
        </w:rPr>
        <w:fldChar w:fldCharType="end"/>
      </w:r>
    </w:p>
    <w:p w14:paraId="2CA639B1">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ascii="宋体" w:hAnsi="宋体" w:eastAsia="宋体" w:cs="宋体"/>
          <w:szCs w:val="24"/>
        </w:rPr>
      </w:pPr>
      <w:r>
        <w:fldChar w:fldCharType="begin"/>
      </w:r>
      <w:r>
        <w:instrText xml:space="preserve"> HYPERLINK \l "_Toc29423" </w:instrText>
      </w:r>
      <w:r>
        <w:fldChar w:fldCharType="separate"/>
      </w:r>
      <w:r>
        <w:rPr>
          <w:rFonts w:hint="eastAsia" w:ascii="宋体" w:hAnsi="宋体" w:eastAsia="宋体" w:cs="宋体"/>
          <w:bCs/>
          <w:szCs w:val="24"/>
        </w:rPr>
        <w:t>参考文献</w:t>
      </w:r>
      <w:r>
        <w:rPr>
          <w:rFonts w:hint="eastAsia" w:ascii="宋体" w:hAnsi="宋体" w:eastAsia="宋体" w:cs="宋体"/>
          <w:szCs w:val="24"/>
        </w:rPr>
        <w:tab/>
      </w:r>
      <w:r>
        <w:rPr>
          <w:rFonts w:hint="eastAsia" w:ascii="宋体" w:hAnsi="宋体" w:eastAsia="宋体" w:cs="宋体"/>
          <w:szCs w:val="24"/>
          <w:lang w:val="en-US" w:eastAsia="zh-CN"/>
        </w:rPr>
        <w:t>8</w:t>
      </w:r>
      <w:r>
        <w:rPr>
          <w:rFonts w:hint="eastAsia" w:ascii="宋体" w:hAnsi="宋体" w:eastAsia="宋体" w:cs="宋体"/>
          <w:szCs w:val="24"/>
        </w:rPr>
        <w:fldChar w:fldCharType="end"/>
      </w:r>
    </w:p>
    <w:p w14:paraId="4CC78697">
      <w:pPr>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rFonts w:hint="eastAsia" w:ascii="Calibri" w:hAnsi="Calibri" w:eastAsia="宋体" w:cs="Times New Roman"/>
          <w:sz w:val="20"/>
          <w:szCs w:val="20"/>
          <w:lang w:val="en-US" w:eastAsia="zh-CN"/>
        </w:rPr>
      </w:pPr>
      <w:r>
        <w:rPr>
          <w:rFonts w:hint="eastAsia" w:ascii="宋体" w:hAnsi="宋体" w:eastAsia="宋体" w:cs="宋体"/>
          <w:bCs/>
          <w:szCs w:val="24"/>
        </w:rPr>
        <w:t>附录</w:t>
      </w:r>
      <w:r>
        <w:fldChar w:fldCharType="begin"/>
      </w:r>
      <w:r>
        <w:instrText xml:space="preserve"> HYPERLINK \l "_Toc19955" </w:instrText>
      </w:r>
      <w:r>
        <w:fldChar w:fldCharType="separate"/>
      </w:r>
      <w:r>
        <w:rPr>
          <w:rFonts w:hint="eastAsia" w:ascii="宋体" w:hAnsi="宋体" w:eastAsia="宋体" w:cs="宋体"/>
          <w:szCs w:val="24"/>
        </w:rPr>
        <w:tab/>
      </w:r>
      <w:r>
        <w:rPr>
          <w:rFonts w:hint="eastAsia" w:ascii="宋体" w:hAnsi="宋体" w:eastAsia="宋体" w:cs="宋体"/>
          <w:szCs w:val="24"/>
          <w:lang w:val="en-US" w:eastAsia="zh-CN"/>
        </w:rPr>
        <w:t>1</w:t>
      </w:r>
      <w:r>
        <w:rPr>
          <w:rFonts w:hint="eastAsia" w:ascii="宋体" w:hAnsi="宋体" w:eastAsia="宋体" w:cs="宋体"/>
          <w:szCs w:val="24"/>
        </w:rPr>
        <w:fldChar w:fldCharType="end"/>
      </w:r>
      <w:r>
        <w:rPr>
          <w:rFonts w:hint="eastAsia" w:ascii="宋体" w:hAnsi="宋体" w:eastAsia="宋体" w:cs="宋体"/>
          <w:szCs w:val="24"/>
          <w:lang w:val="en-US" w:eastAsia="zh-CN"/>
        </w:rPr>
        <w:t>0</w:t>
      </w:r>
    </w:p>
    <w:p w14:paraId="6293B677">
      <w:pPr>
        <w:keepNext w:val="0"/>
        <w:keepLines w:val="0"/>
        <w:pageBreakBefore w:val="0"/>
        <w:tabs>
          <w:tab w:val="right" w:leader="dot" w:pos="8306"/>
        </w:tabs>
        <w:kinsoku/>
        <w:wordWrap/>
        <w:overflowPunct/>
        <w:topLinePunct w:val="0"/>
        <w:autoSpaceDE/>
        <w:autoSpaceDN/>
        <w:bidi w:val="0"/>
        <w:adjustRightInd/>
        <w:snapToGrid/>
        <w:spacing w:line="360" w:lineRule="auto"/>
        <w:ind w:left="480" w:leftChars="200" w:firstLine="400"/>
        <w:textAlignment w:val="auto"/>
        <w:rPr>
          <w:rFonts w:ascii="Calibri" w:hAnsi="Calibri" w:eastAsia="宋体" w:cs="Times New Roman"/>
          <w:sz w:val="20"/>
          <w:szCs w:val="20"/>
        </w:rPr>
      </w:pPr>
    </w:p>
    <w:p w14:paraId="7A3F784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ascii="黑体" w:hAnsi="黑体" w:eastAsia="黑体"/>
          <w:color w:val="FF0000"/>
          <w:kern w:val="0"/>
          <w:szCs w:val="24"/>
        </w:rPr>
      </w:pPr>
      <w:r>
        <w:rPr>
          <w:rFonts w:hint="eastAsia" w:ascii="宋体" w:hAnsi="宋体" w:eastAsia="宋体" w:cs="宋体"/>
          <w:bCs/>
          <w:sz w:val="21"/>
          <w:szCs w:val="30"/>
        </w:rPr>
        <w:fldChar w:fldCharType="end"/>
      </w:r>
      <w:r>
        <w:rPr>
          <w:rFonts w:hint="eastAsia" w:ascii="宋体" w:hAnsi="宋体" w:eastAsia="宋体" w:cs="宋体"/>
          <w:bCs/>
          <w:sz w:val="21"/>
          <w:szCs w:val="30"/>
          <w:lang w:val="en-US" w:eastAsia="zh-CN"/>
        </w:rPr>
        <w:t xml:space="preserve">    </w:t>
      </w:r>
      <w:r>
        <w:rPr>
          <w:rFonts w:hint="eastAsia" w:ascii="黑体" w:hAnsi="黑体" w:eastAsia="黑体"/>
          <w:color w:val="FF0000"/>
          <w:kern w:val="0"/>
          <w:szCs w:val="24"/>
        </w:rPr>
        <w:t>“目录”二字中间空两格，小三号黑体居中。目录要按三级标题编写，层次清晰，且要与正文标题一致。主要包括绪论（引言）、正文主题、结论、主要参考文献等。目录具体</w:t>
      </w:r>
      <w:r>
        <w:rPr>
          <w:rFonts w:ascii="黑体" w:hAnsi="黑体" w:eastAsia="黑体"/>
          <w:color w:val="FF0000"/>
          <w:kern w:val="0"/>
          <w:szCs w:val="24"/>
        </w:rPr>
        <w:t>内容小四号、宋体字、</w:t>
      </w:r>
      <w:r>
        <w:rPr>
          <w:rFonts w:hint="eastAsia" w:ascii="黑体" w:hAnsi="黑体" w:eastAsia="黑体"/>
          <w:color w:val="FF0000"/>
          <w:kern w:val="0"/>
          <w:szCs w:val="24"/>
        </w:rPr>
        <w:t>1.5倍</w:t>
      </w:r>
      <w:r>
        <w:rPr>
          <w:rFonts w:ascii="黑体" w:hAnsi="黑体" w:eastAsia="黑体"/>
          <w:color w:val="FF0000"/>
          <w:kern w:val="0"/>
          <w:szCs w:val="24"/>
        </w:rPr>
        <w:t>行距</w:t>
      </w:r>
      <w:r>
        <w:rPr>
          <w:rFonts w:hint="eastAsia" w:ascii="黑体" w:hAnsi="黑体" w:eastAsia="黑体"/>
          <w:color w:val="FF0000"/>
          <w:kern w:val="0"/>
          <w:szCs w:val="24"/>
        </w:rPr>
        <w:t>、</w:t>
      </w:r>
      <w:r>
        <w:rPr>
          <w:rFonts w:ascii="黑体" w:hAnsi="黑体" w:eastAsia="黑体"/>
          <w:color w:val="FF0000"/>
          <w:kern w:val="0"/>
          <w:szCs w:val="24"/>
        </w:rPr>
        <w:t>对应的页码靠右对齐。</w:t>
      </w:r>
    </w:p>
    <w:p w14:paraId="695CB3B5">
      <w:pPr>
        <w:pStyle w:val="9"/>
        <w:spacing w:line="240" w:lineRule="auto"/>
        <w:ind w:firstLine="283" w:firstLineChars="118"/>
        <w:rPr>
          <w:rFonts w:cs="AdobeSongStd-Light"/>
          <w:color w:val="FF0000"/>
          <w:kern w:val="0"/>
          <w:szCs w:val="30"/>
        </w:rPr>
      </w:pPr>
      <w:r>
        <w:rPr>
          <w:rFonts w:hint="eastAsia" w:ascii="黑体" w:hAnsi="黑体" w:eastAsia="黑体"/>
          <w:bCs/>
          <w:color w:val="FF0000"/>
          <w:kern w:val="0"/>
          <w:szCs w:val="24"/>
        </w:rPr>
        <w:t>目录</w:t>
      </w:r>
      <w:r>
        <w:rPr>
          <w:rFonts w:ascii="黑体" w:hAnsi="黑体" w:eastAsia="黑体"/>
          <w:bCs/>
          <w:color w:val="FF0000"/>
          <w:kern w:val="0"/>
          <w:szCs w:val="24"/>
        </w:rPr>
        <w:t>必须和</w:t>
      </w:r>
      <w:r>
        <w:rPr>
          <w:rFonts w:hint="eastAsia" w:ascii="黑体" w:hAnsi="黑体" w:eastAsia="黑体"/>
          <w:bCs/>
          <w:color w:val="FF0000"/>
          <w:kern w:val="0"/>
          <w:szCs w:val="24"/>
        </w:rPr>
        <w:t>实际</w:t>
      </w:r>
      <w:r>
        <w:rPr>
          <w:rFonts w:ascii="黑体" w:hAnsi="黑体" w:eastAsia="黑体"/>
          <w:bCs/>
          <w:color w:val="FF0000"/>
          <w:kern w:val="0"/>
          <w:szCs w:val="24"/>
        </w:rPr>
        <w:t>内容统一，目录的页码必须和实际页码统一。</w:t>
      </w:r>
      <w:r>
        <w:rPr>
          <w:rFonts w:hint="eastAsia" w:ascii="黑体" w:hAnsi="黑体" w:eastAsia="黑体"/>
          <w:bCs/>
          <w:color w:val="FF0000"/>
          <w:kern w:val="0"/>
          <w:szCs w:val="24"/>
        </w:rPr>
        <w:t>目录</w:t>
      </w:r>
      <w:r>
        <w:rPr>
          <w:rFonts w:ascii="黑体" w:hAnsi="黑体" w:eastAsia="黑体"/>
          <w:bCs/>
          <w:color w:val="FF0000"/>
          <w:kern w:val="0"/>
          <w:szCs w:val="24"/>
        </w:rPr>
        <w:t>的制作方法：按照论文模板格式和要求对正文进行排版，再“</w:t>
      </w:r>
      <w:r>
        <w:rPr>
          <w:rFonts w:hint="eastAsia" w:ascii="黑体" w:hAnsi="黑体" w:eastAsia="黑体"/>
          <w:bCs/>
          <w:color w:val="FF0000"/>
          <w:kern w:val="0"/>
          <w:szCs w:val="24"/>
        </w:rPr>
        <w:t>插入</w:t>
      </w:r>
      <w:r>
        <w:rPr>
          <w:rFonts w:ascii="黑体" w:hAnsi="黑体" w:eastAsia="黑体"/>
          <w:bCs/>
          <w:color w:val="FF0000"/>
          <w:kern w:val="0"/>
          <w:szCs w:val="24"/>
        </w:rPr>
        <w:t>-引用-索引和目录-目录”</w:t>
      </w:r>
      <w:r>
        <w:rPr>
          <w:rFonts w:hint="eastAsia" w:ascii="黑体" w:hAnsi="黑体" w:eastAsia="黑体"/>
          <w:bCs/>
          <w:color w:val="FF0000"/>
          <w:kern w:val="0"/>
          <w:szCs w:val="24"/>
        </w:rPr>
        <w:t>进行</w:t>
      </w:r>
      <w:r>
        <w:rPr>
          <w:rFonts w:ascii="黑体" w:hAnsi="黑体" w:eastAsia="黑体"/>
          <w:bCs/>
          <w:color w:val="FF0000"/>
          <w:kern w:val="0"/>
          <w:szCs w:val="24"/>
        </w:rPr>
        <w:t>制作。更新</w:t>
      </w:r>
      <w:r>
        <w:rPr>
          <w:rFonts w:hint="eastAsia" w:ascii="黑体" w:hAnsi="黑体" w:eastAsia="黑体"/>
          <w:bCs/>
          <w:color w:val="FF0000"/>
          <w:kern w:val="0"/>
          <w:szCs w:val="24"/>
        </w:rPr>
        <w:t>目录</w:t>
      </w:r>
      <w:r>
        <w:rPr>
          <w:rFonts w:ascii="黑体" w:hAnsi="黑体" w:eastAsia="黑体"/>
          <w:bCs/>
          <w:color w:val="FF0000"/>
          <w:kern w:val="0"/>
          <w:szCs w:val="24"/>
        </w:rPr>
        <w:t>的方法</w:t>
      </w:r>
      <w:r>
        <w:rPr>
          <w:rFonts w:hint="eastAsia" w:ascii="黑体" w:hAnsi="黑体" w:eastAsia="黑体"/>
          <w:bCs/>
          <w:color w:val="FF0000"/>
          <w:kern w:val="0"/>
          <w:szCs w:val="24"/>
        </w:rPr>
        <w:t>是</w:t>
      </w:r>
      <w:r>
        <w:rPr>
          <w:rFonts w:ascii="黑体" w:hAnsi="黑体" w:eastAsia="黑体"/>
          <w:bCs/>
          <w:color w:val="FF0000"/>
          <w:kern w:val="0"/>
          <w:szCs w:val="24"/>
        </w:rPr>
        <w:t>：视图-工具栏-大纲-更新目录。</w:t>
      </w:r>
      <w:r>
        <w:rPr>
          <w:rFonts w:hint="eastAsia" w:ascii="黑体" w:hAnsi="黑体" w:eastAsia="黑体"/>
          <w:bCs/>
          <w:color w:val="FF0000"/>
          <w:kern w:val="0"/>
          <w:szCs w:val="24"/>
        </w:rPr>
        <w:t>论文</w:t>
      </w:r>
      <w:r>
        <w:rPr>
          <w:rFonts w:ascii="黑体" w:hAnsi="黑体" w:eastAsia="黑体"/>
          <w:bCs/>
          <w:color w:val="FF0000"/>
          <w:kern w:val="0"/>
          <w:szCs w:val="24"/>
        </w:rPr>
        <w:t>标题层次</w:t>
      </w:r>
      <w:r>
        <w:rPr>
          <w:rFonts w:hint="eastAsia" w:ascii="黑体" w:hAnsi="黑体" w:eastAsia="黑体"/>
          <w:bCs/>
          <w:color w:val="FF0000"/>
          <w:kern w:val="0"/>
          <w:szCs w:val="24"/>
        </w:rPr>
        <w:t>参考</w:t>
      </w:r>
      <w:r>
        <w:rPr>
          <w:rFonts w:ascii="黑体" w:hAnsi="黑体" w:eastAsia="黑体"/>
          <w:bCs/>
          <w:color w:val="FF0000"/>
          <w:kern w:val="0"/>
          <w:szCs w:val="24"/>
        </w:rPr>
        <w:t>示例：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5400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14:paraId="5E4EEA61">
            <w:pPr>
              <w:pStyle w:val="10"/>
              <w:rPr>
                <w:rFonts w:ascii="黑体" w:hAnsi="黑体" w:eastAsia="黑体"/>
                <w:color w:val="FF0000"/>
              </w:rPr>
            </w:pPr>
            <w:r>
              <w:rPr>
                <w:rFonts w:hint="eastAsia" w:ascii="黑体" w:hAnsi="黑体" w:eastAsia="黑体"/>
                <w:color w:val="FF0000"/>
              </w:rPr>
              <w:t>标题</w:t>
            </w:r>
            <w:r>
              <w:rPr>
                <w:rFonts w:ascii="黑体" w:hAnsi="黑体" w:eastAsia="黑体"/>
                <w:color w:val="FF0000"/>
              </w:rPr>
              <w:t>级别</w:t>
            </w:r>
          </w:p>
        </w:tc>
        <w:tc>
          <w:tcPr>
            <w:tcW w:w="1704" w:type="dxa"/>
            <w:noWrap w:val="0"/>
            <w:vAlign w:val="top"/>
          </w:tcPr>
          <w:p w14:paraId="0C3FB649">
            <w:pPr>
              <w:pStyle w:val="10"/>
              <w:rPr>
                <w:rFonts w:ascii="黑体" w:hAnsi="黑体" w:eastAsia="黑体"/>
                <w:color w:val="FF0000"/>
              </w:rPr>
            </w:pPr>
            <w:r>
              <w:rPr>
                <w:rFonts w:hint="eastAsia" w:ascii="黑体" w:hAnsi="黑体" w:eastAsia="黑体"/>
                <w:color w:val="FF0000"/>
              </w:rPr>
              <w:t>示例一</w:t>
            </w:r>
            <w:r>
              <w:rPr>
                <w:rFonts w:hint="eastAsia" w:ascii="黑体" w:hAnsi="黑体" w:eastAsia="黑体"/>
                <w:color w:val="FF0000"/>
              </w:rPr>
              <w:tab/>
            </w:r>
          </w:p>
        </w:tc>
        <w:tc>
          <w:tcPr>
            <w:tcW w:w="1704" w:type="dxa"/>
            <w:noWrap w:val="0"/>
            <w:vAlign w:val="top"/>
          </w:tcPr>
          <w:p w14:paraId="456D03D8">
            <w:pPr>
              <w:pStyle w:val="10"/>
              <w:rPr>
                <w:rFonts w:ascii="黑体" w:hAnsi="黑体" w:eastAsia="黑体"/>
                <w:color w:val="FF0000"/>
              </w:rPr>
            </w:pPr>
            <w:r>
              <w:rPr>
                <w:rFonts w:hint="eastAsia" w:ascii="黑体" w:hAnsi="黑体" w:eastAsia="黑体"/>
                <w:color w:val="FF0000"/>
              </w:rPr>
              <w:t>示例二</w:t>
            </w:r>
          </w:p>
        </w:tc>
        <w:tc>
          <w:tcPr>
            <w:tcW w:w="1705" w:type="dxa"/>
            <w:noWrap w:val="0"/>
            <w:vAlign w:val="top"/>
          </w:tcPr>
          <w:p w14:paraId="3FBCD9E8">
            <w:pPr>
              <w:pStyle w:val="10"/>
              <w:rPr>
                <w:rFonts w:ascii="黑体" w:hAnsi="黑体" w:eastAsia="黑体"/>
                <w:color w:val="FF0000"/>
              </w:rPr>
            </w:pPr>
            <w:r>
              <w:rPr>
                <w:rFonts w:hint="eastAsia" w:ascii="黑体" w:hAnsi="黑体" w:eastAsia="黑体"/>
                <w:color w:val="FF0000"/>
              </w:rPr>
              <w:t>示例三</w:t>
            </w:r>
          </w:p>
        </w:tc>
        <w:tc>
          <w:tcPr>
            <w:tcW w:w="1705" w:type="dxa"/>
            <w:noWrap w:val="0"/>
            <w:vAlign w:val="top"/>
          </w:tcPr>
          <w:p w14:paraId="3245F24B">
            <w:pPr>
              <w:pStyle w:val="10"/>
              <w:rPr>
                <w:rFonts w:ascii="黑体" w:hAnsi="黑体" w:eastAsia="黑体"/>
                <w:color w:val="FF0000"/>
              </w:rPr>
            </w:pPr>
            <w:r>
              <w:rPr>
                <w:rFonts w:hint="eastAsia" w:ascii="黑体" w:hAnsi="黑体" w:eastAsia="黑体"/>
                <w:color w:val="FF0000"/>
              </w:rPr>
              <w:t>示例四</w:t>
            </w:r>
          </w:p>
        </w:tc>
      </w:tr>
    </w:tbl>
    <w:tbl>
      <w:tblPr>
        <w:tblStyle w:val="5"/>
        <w:tblW w:w="0" w:type="auto"/>
        <w:tblInd w:w="0" w:type="dxa"/>
        <w:tblLayout w:type="autofit"/>
        <w:tblCellMar>
          <w:top w:w="0" w:type="dxa"/>
          <w:left w:w="108" w:type="dxa"/>
          <w:bottom w:w="0" w:type="dxa"/>
          <w:right w:w="108" w:type="dxa"/>
        </w:tblCellMar>
      </w:tblPr>
      <w:tblGrid>
        <w:gridCol w:w="1704"/>
        <w:gridCol w:w="1704"/>
        <w:gridCol w:w="1704"/>
        <w:gridCol w:w="1705"/>
        <w:gridCol w:w="1705"/>
      </w:tblGrid>
      <w:tr w14:paraId="0E122A85">
        <w:tblPrEx>
          <w:tblCellMar>
            <w:top w:w="0" w:type="dxa"/>
            <w:left w:w="108" w:type="dxa"/>
            <w:bottom w:w="0" w:type="dxa"/>
            <w:right w:w="108" w:type="dxa"/>
          </w:tblCellMar>
        </w:tblPrEx>
        <w:tc>
          <w:tcPr>
            <w:tcW w:w="1704" w:type="dxa"/>
            <w:noWrap w:val="0"/>
            <w:vAlign w:val="top"/>
          </w:tcPr>
          <w:p w14:paraId="2BD45173">
            <w:pPr>
              <w:pStyle w:val="10"/>
              <w:rPr>
                <w:rFonts w:ascii="黑体" w:hAnsi="黑体" w:eastAsia="黑体"/>
                <w:color w:val="FF0000"/>
              </w:rPr>
            </w:pPr>
            <w:r>
              <w:rPr>
                <w:rFonts w:hint="eastAsia" w:ascii="黑体" w:hAnsi="黑体" w:eastAsia="黑体"/>
                <w:color w:val="FF0000"/>
              </w:rPr>
              <w:t>一级标题：</w:t>
            </w:r>
          </w:p>
        </w:tc>
        <w:tc>
          <w:tcPr>
            <w:tcW w:w="1704" w:type="dxa"/>
            <w:noWrap w:val="0"/>
            <w:vAlign w:val="top"/>
          </w:tcPr>
          <w:p w14:paraId="1C20CA5F">
            <w:pPr>
              <w:pStyle w:val="10"/>
              <w:rPr>
                <w:rFonts w:ascii="黑体" w:hAnsi="黑体" w:eastAsia="黑体"/>
                <w:color w:val="FF0000"/>
              </w:rPr>
            </w:pPr>
            <w:r>
              <w:rPr>
                <w:rFonts w:hint="eastAsia" w:ascii="黑体" w:hAnsi="黑体" w:eastAsia="黑体"/>
                <w:color w:val="FF0000"/>
              </w:rPr>
              <w:t>一、</w:t>
            </w:r>
          </w:p>
        </w:tc>
        <w:tc>
          <w:tcPr>
            <w:tcW w:w="1704" w:type="dxa"/>
            <w:noWrap w:val="0"/>
            <w:vAlign w:val="top"/>
          </w:tcPr>
          <w:p w14:paraId="645F6036">
            <w:pPr>
              <w:pStyle w:val="10"/>
              <w:rPr>
                <w:rFonts w:ascii="黑体" w:hAnsi="黑体" w:eastAsia="黑体"/>
                <w:color w:val="FF0000"/>
              </w:rPr>
            </w:pPr>
            <w:r>
              <w:rPr>
                <w:rFonts w:hint="eastAsia" w:ascii="黑体" w:hAnsi="黑体" w:eastAsia="黑体"/>
                <w:color w:val="FF0000"/>
              </w:rPr>
              <w:t>第一章</w:t>
            </w:r>
          </w:p>
        </w:tc>
        <w:tc>
          <w:tcPr>
            <w:tcW w:w="1705" w:type="dxa"/>
            <w:noWrap w:val="0"/>
            <w:vAlign w:val="top"/>
          </w:tcPr>
          <w:p w14:paraId="66732335">
            <w:pPr>
              <w:pStyle w:val="10"/>
              <w:rPr>
                <w:rFonts w:ascii="黑体" w:hAnsi="黑体" w:eastAsia="黑体"/>
                <w:color w:val="FF0000"/>
              </w:rPr>
            </w:pPr>
            <w:r>
              <w:rPr>
                <w:rFonts w:hint="eastAsia" w:ascii="黑体" w:hAnsi="黑体" w:eastAsia="黑体"/>
                <w:color w:val="FF0000"/>
              </w:rPr>
              <w:t>1.</w:t>
            </w:r>
          </w:p>
        </w:tc>
        <w:tc>
          <w:tcPr>
            <w:tcW w:w="1705" w:type="dxa"/>
            <w:noWrap w:val="0"/>
            <w:vAlign w:val="top"/>
          </w:tcPr>
          <w:p w14:paraId="0941A01A">
            <w:pPr>
              <w:pStyle w:val="10"/>
              <w:rPr>
                <w:rFonts w:ascii="黑体" w:hAnsi="黑体" w:eastAsia="黑体"/>
                <w:color w:val="FF0000"/>
              </w:rPr>
            </w:pPr>
            <w:r>
              <w:rPr>
                <w:rFonts w:hint="eastAsia" w:ascii="黑体" w:hAnsi="黑体" w:eastAsia="黑体"/>
                <w:color w:val="FF0000"/>
              </w:rPr>
              <w:t>第1章</w:t>
            </w:r>
          </w:p>
        </w:tc>
      </w:tr>
      <w:tr w14:paraId="0186F973">
        <w:tblPrEx>
          <w:tblCellMar>
            <w:top w:w="0" w:type="dxa"/>
            <w:left w:w="108" w:type="dxa"/>
            <w:bottom w:w="0" w:type="dxa"/>
            <w:right w:w="108" w:type="dxa"/>
          </w:tblCellMar>
        </w:tblPrEx>
        <w:tc>
          <w:tcPr>
            <w:tcW w:w="1704" w:type="dxa"/>
            <w:noWrap w:val="0"/>
            <w:vAlign w:val="top"/>
          </w:tcPr>
          <w:p w14:paraId="34D66210">
            <w:pPr>
              <w:pStyle w:val="10"/>
              <w:rPr>
                <w:rFonts w:ascii="黑体" w:hAnsi="黑体" w:eastAsia="黑体"/>
                <w:color w:val="FF0000"/>
              </w:rPr>
            </w:pPr>
            <w:r>
              <w:rPr>
                <w:rFonts w:hint="eastAsia" w:ascii="黑体" w:hAnsi="黑体" w:eastAsia="黑体"/>
                <w:color w:val="FF0000"/>
              </w:rPr>
              <w:t>二级标题：</w:t>
            </w:r>
          </w:p>
        </w:tc>
        <w:tc>
          <w:tcPr>
            <w:tcW w:w="1704" w:type="dxa"/>
            <w:noWrap w:val="0"/>
            <w:vAlign w:val="top"/>
          </w:tcPr>
          <w:p w14:paraId="4846C19A">
            <w:pPr>
              <w:pStyle w:val="10"/>
              <w:rPr>
                <w:rFonts w:ascii="黑体" w:hAnsi="黑体" w:eastAsia="黑体"/>
                <w:color w:val="FF0000"/>
              </w:rPr>
            </w:pPr>
            <w:r>
              <w:rPr>
                <w:rFonts w:hint="eastAsia" w:ascii="黑体" w:hAnsi="黑体" w:eastAsia="黑体"/>
                <w:color w:val="FF0000"/>
              </w:rPr>
              <w:t>（一）</w:t>
            </w:r>
          </w:p>
        </w:tc>
        <w:tc>
          <w:tcPr>
            <w:tcW w:w="1704" w:type="dxa"/>
            <w:noWrap w:val="0"/>
            <w:vAlign w:val="top"/>
          </w:tcPr>
          <w:p w14:paraId="1CE97A18">
            <w:pPr>
              <w:pStyle w:val="10"/>
              <w:rPr>
                <w:rFonts w:ascii="黑体" w:hAnsi="黑体" w:eastAsia="黑体"/>
                <w:color w:val="FF0000"/>
              </w:rPr>
            </w:pPr>
            <w:r>
              <w:rPr>
                <w:rFonts w:hint="eastAsia" w:ascii="黑体" w:hAnsi="黑体" w:eastAsia="黑体"/>
                <w:color w:val="FF0000"/>
              </w:rPr>
              <w:t xml:space="preserve">第一节 </w:t>
            </w:r>
          </w:p>
        </w:tc>
        <w:tc>
          <w:tcPr>
            <w:tcW w:w="1705" w:type="dxa"/>
            <w:noWrap w:val="0"/>
            <w:vAlign w:val="top"/>
          </w:tcPr>
          <w:p w14:paraId="42D4042B">
            <w:pPr>
              <w:pStyle w:val="10"/>
              <w:rPr>
                <w:rFonts w:ascii="黑体" w:hAnsi="黑体" w:eastAsia="黑体"/>
                <w:color w:val="FF0000"/>
              </w:rPr>
            </w:pPr>
            <w:r>
              <w:rPr>
                <w:rFonts w:hint="eastAsia" w:ascii="黑体" w:hAnsi="黑体" w:eastAsia="黑体"/>
                <w:color w:val="FF0000"/>
              </w:rPr>
              <w:t>1.1</w:t>
            </w:r>
          </w:p>
        </w:tc>
        <w:tc>
          <w:tcPr>
            <w:tcW w:w="1705" w:type="dxa"/>
            <w:noWrap w:val="0"/>
            <w:vAlign w:val="top"/>
          </w:tcPr>
          <w:p w14:paraId="0AE67DEF">
            <w:pPr>
              <w:pStyle w:val="10"/>
              <w:rPr>
                <w:rFonts w:ascii="黑体" w:hAnsi="黑体" w:eastAsia="黑体"/>
                <w:color w:val="FF0000"/>
              </w:rPr>
            </w:pPr>
            <w:r>
              <w:rPr>
                <w:rFonts w:hint="eastAsia" w:ascii="黑体" w:hAnsi="黑体" w:eastAsia="黑体"/>
                <w:color w:val="FF0000"/>
              </w:rPr>
              <w:t>1.1</w:t>
            </w:r>
          </w:p>
        </w:tc>
      </w:tr>
      <w:tr w14:paraId="1244D74E">
        <w:tblPrEx>
          <w:tblCellMar>
            <w:top w:w="0" w:type="dxa"/>
            <w:left w:w="108" w:type="dxa"/>
            <w:bottom w:w="0" w:type="dxa"/>
            <w:right w:w="108" w:type="dxa"/>
          </w:tblCellMar>
        </w:tblPrEx>
        <w:tc>
          <w:tcPr>
            <w:tcW w:w="1704" w:type="dxa"/>
            <w:noWrap w:val="0"/>
            <w:vAlign w:val="top"/>
          </w:tcPr>
          <w:p w14:paraId="39B30FCE">
            <w:pPr>
              <w:pStyle w:val="10"/>
              <w:rPr>
                <w:rFonts w:ascii="黑体" w:hAnsi="黑体" w:eastAsia="黑体"/>
                <w:color w:val="FF0000"/>
              </w:rPr>
            </w:pPr>
            <w:r>
              <w:rPr>
                <w:rFonts w:hint="eastAsia" w:ascii="黑体" w:hAnsi="黑体" w:eastAsia="黑体"/>
                <w:color w:val="FF0000"/>
              </w:rPr>
              <w:t>三级标题：</w:t>
            </w:r>
          </w:p>
        </w:tc>
        <w:tc>
          <w:tcPr>
            <w:tcW w:w="1704" w:type="dxa"/>
            <w:noWrap w:val="0"/>
            <w:vAlign w:val="top"/>
          </w:tcPr>
          <w:p w14:paraId="69B53097">
            <w:pPr>
              <w:pStyle w:val="10"/>
              <w:rPr>
                <w:rFonts w:ascii="黑体" w:hAnsi="黑体" w:eastAsia="黑体"/>
                <w:color w:val="FF0000"/>
              </w:rPr>
            </w:pPr>
            <w:r>
              <w:rPr>
                <w:rFonts w:hint="eastAsia" w:ascii="黑体" w:hAnsi="黑体" w:eastAsia="黑体"/>
                <w:color w:val="FF0000"/>
              </w:rPr>
              <w:t>1.</w:t>
            </w:r>
          </w:p>
        </w:tc>
        <w:tc>
          <w:tcPr>
            <w:tcW w:w="1704" w:type="dxa"/>
            <w:noWrap w:val="0"/>
            <w:vAlign w:val="top"/>
          </w:tcPr>
          <w:p w14:paraId="2935D60B">
            <w:pPr>
              <w:pStyle w:val="10"/>
              <w:rPr>
                <w:rFonts w:ascii="黑体" w:hAnsi="黑体" w:eastAsia="黑体"/>
                <w:color w:val="FF0000"/>
              </w:rPr>
            </w:pPr>
            <w:r>
              <w:rPr>
                <w:rFonts w:hint="eastAsia" w:ascii="黑体" w:hAnsi="黑体" w:eastAsia="黑体"/>
                <w:color w:val="FF0000"/>
              </w:rPr>
              <w:t>一、</w:t>
            </w:r>
          </w:p>
        </w:tc>
        <w:tc>
          <w:tcPr>
            <w:tcW w:w="1705" w:type="dxa"/>
            <w:noWrap w:val="0"/>
            <w:vAlign w:val="top"/>
          </w:tcPr>
          <w:p w14:paraId="6DD3A094">
            <w:pPr>
              <w:pStyle w:val="10"/>
              <w:rPr>
                <w:rFonts w:ascii="黑体" w:hAnsi="黑体" w:eastAsia="黑体"/>
                <w:color w:val="FF0000"/>
              </w:rPr>
            </w:pPr>
            <w:r>
              <w:rPr>
                <w:rFonts w:hint="eastAsia" w:ascii="黑体" w:hAnsi="黑体" w:eastAsia="黑体"/>
                <w:color w:val="FF0000"/>
              </w:rPr>
              <w:t>1.1.1</w:t>
            </w:r>
          </w:p>
        </w:tc>
        <w:tc>
          <w:tcPr>
            <w:tcW w:w="1705" w:type="dxa"/>
            <w:noWrap w:val="0"/>
            <w:vAlign w:val="top"/>
          </w:tcPr>
          <w:p w14:paraId="3A578553">
            <w:pPr>
              <w:pStyle w:val="10"/>
              <w:rPr>
                <w:rFonts w:ascii="黑体" w:hAnsi="黑体" w:eastAsia="黑体"/>
                <w:color w:val="FF0000"/>
              </w:rPr>
            </w:pPr>
            <w:r>
              <w:rPr>
                <w:rFonts w:hint="eastAsia" w:ascii="黑体" w:hAnsi="黑体" w:eastAsia="黑体"/>
                <w:color w:val="FF0000"/>
              </w:rPr>
              <w:t>1.1.1</w:t>
            </w:r>
          </w:p>
        </w:tc>
      </w:tr>
      <w:tr w14:paraId="573366B7">
        <w:tblPrEx>
          <w:tblCellMar>
            <w:top w:w="0" w:type="dxa"/>
            <w:left w:w="108" w:type="dxa"/>
            <w:bottom w:w="0" w:type="dxa"/>
            <w:right w:w="108" w:type="dxa"/>
          </w:tblCellMar>
        </w:tblPrEx>
        <w:tc>
          <w:tcPr>
            <w:tcW w:w="1704" w:type="dxa"/>
            <w:noWrap w:val="0"/>
            <w:vAlign w:val="top"/>
          </w:tcPr>
          <w:p w14:paraId="6F008723">
            <w:pPr>
              <w:pStyle w:val="10"/>
              <w:rPr>
                <w:rFonts w:ascii="黑体" w:hAnsi="黑体" w:eastAsia="黑体"/>
                <w:color w:val="FF0000"/>
              </w:rPr>
            </w:pPr>
            <w:r>
              <w:rPr>
                <w:rFonts w:hint="eastAsia" w:ascii="黑体" w:hAnsi="黑体" w:eastAsia="黑体"/>
                <w:color w:val="FF0000"/>
              </w:rPr>
              <w:t>四级标题：</w:t>
            </w:r>
          </w:p>
        </w:tc>
        <w:tc>
          <w:tcPr>
            <w:tcW w:w="1704" w:type="dxa"/>
            <w:noWrap w:val="0"/>
            <w:vAlign w:val="top"/>
          </w:tcPr>
          <w:p w14:paraId="5E9B764E">
            <w:pPr>
              <w:pStyle w:val="10"/>
              <w:rPr>
                <w:rFonts w:ascii="黑体" w:hAnsi="黑体" w:eastAsia="黑体"/>
                <w:color w:val="FF0000"/>
              </w:rPr>
            </w:pPr>
            <w:r>
              <w:rPr>
                <w:rFonts w:hint="eastAsia" w:ascii="黑体" w:hAnsi="黑体" w:eastAsia="黑体"/>
                <w:color w:val="FF0000"/>
              </w:rPr>
              <w:t>（1）</w:t>
            </w:r>
          </w:p>
        </w:tc>
        <w:tc>
          <w:tcPr>
            <w:tcW w:w="1704" w:type="dxa"/>
            <w:noWrap w:val="0"/>
            <w:vAlign w:val="top"/>
          </w:tcPr>
          <w:p w14:paraId="4041CB30">
            <w:pPr>
              <w:pStyle w:val="10"/>
              <w:rPr>
                <w:rFonts w:ascii="黑体" w:hAnsi="黑体" w:eastAsia="黑体"/>
                <w:color w:val="FF0000"/>
              </w:rPr>
            </w:pPr>
            <w:r>
              <w:rPr>
                <w:rFonts w:hint="eastAsia" w:ascii="黑体" w:hAnsi="黑体" w:eastAsia="黑体"/>
                <w:color w:val="FF0000"/>
              </w:rPr>
              <w:t xml:space="preserve">（一）   </w:t>
            </w:r>
          </w:p>
        </w:tc>
        <w:tc>
          <w:tcPr>
            <w:tcW w:w="1705" w:type="dxa"/>
            <w:noWrap w:val="0"/>
            <w:vAlign w:val="top"/>
          </w:tcPr>
          <w:p w14:paraId="23A1C7C6">
            <w:pPr>
              <w:pStyle w:val="10"/>
              <w:rPr>
                <w:rFonts w:ascii="黑体" w:hAnsi="黑体" w:eastAsia="黑体"/>
                <w:color w:val="FF0000"/>
              </w:rPr>
            </w:pPr>
            <w:r>
              <w:rPr>
                <w:rFonts w:hint="eastAsia" w:ascii="黑体" w:hAnsi="黑体" w:eastAsia="黑体"/>
                <w:color w:val="FF0000"/>
              </w:rPr>
              <w:t>1.1.1.1</w:t>
            </w:r>
          </w:p>
        </w:tc>
        <w:tc>
          <w:tcPr>
            <w:tcW w:w="1705" w:type="dxa"/>
            <w:noWrap w:val="0"/>
            <w:vAlign w:val="top"/>
          </w:tcPr>
          <w:p w14:paraId="7D1F23E4">
            <w:pPr>
              <w:pStyle w:val="10"/>
              <w:rPr>
                <w:rFonts w:ascii="黑体" w:hAnsi="黑体" w:eastAsia="黑体"/>
                <w:color w:val="FF0000"/>
              </w:rPr>
            </w:pPr>
            <w:r>
              <w:rPr>
                <w:rFonts w:hint="eastAsia" w:ascii="黑体" w:hAnsi="黑体" w:eastAsia="黑体"/>
                <w:color w:val="FF0000"/>
              </w:rPr>
              <w:t>1.1.1.1</w:t>
            </w:r>
          </w:p>
        </w:tc>
      </w:tr>
    </w:tbl>
    <w:p w14:paraId="4AF105CA">
      <w:pPr>
        <w:ind w:left="0" w:leftChars="0" w:firstLine="0" w:firstLineChars="0"/>
        <w:rPr>
          <w:rFonts w:ascii="宋体" w:hAnsi="宋体" w:eastAsia="宋体" w:cs="宋体"/>
          <w:szCs w:val="24"/>
        </w:rPr>
        <w:sectPr>
          <w:footerReference r:id="rId4" w:type="default"/>
          <w:pgSz w:w="11906" w:h="16838"/>
          <w:pgMar w:top="1440" w:right="1800" w:bottom="1440" w:left="1800" w:header="0" w:footer="992" w:gutter="0"/>
          <w:pgNumType w:fmt="decimal" w:start="2"/>
          <w:cols w:space="720" w:num="1"/>
          <w:docGrid w:type="lines" w:linePitch="326" w:charSpace="0"/>
        </w:sectPr>
      </w:pPr>
    </w:p>
    <w:p w14:paraId="1E92EF82">
      <w:pPr>
        <w:widowControl w:val="0"/>
        <w:ind w:firstLine="0" w:firstLineChars="0"/>
        <w:jc w:val="center"/>
        <w:outlineLvl w:val="0"/>
        <w:rPr>
          <w:rFonts w:hint="eastAsia" w:ascii="宋体" w:hAnsi="宋体" w:eastAsia="宋体" w:cs="宋体"/>
          <w:b/>
          <w:bCs/>
          <w:sz w:val="30"/>
          <w:szCs w:val="30"/>
          <w:lang w:eastAsia="zh-CN"/>
        </w:rPr>
      </w:pPr>
      <w:r>
        <w:rPr>
          <w:rFonts w:hint="eastAsia" w:ascii="宋体" w:hAnsi="宋体" w:eastAsia="宋体" w:cs="宋体"/>
          <w:b/>
          <w:bCs/>
          <w:sz w:val="30"/>
          <w:szCs w:val="30"/>
        </w:rPr>
        <w:t>一、绪 论</w:t>
      </w:r>
      <w:r>
        <w:rPr>
          <w:rFonts w:hint="eastAsia" w:ascii="宋体" w:hAnsi="宋体" w:eastAsia="宋体" w:cs="宋体"/>
          <w:b/>
          <w:bCs/>
          <w:sz w:val="30"/>
          <w:szCs w:val="30"/>
          <w:lang w:eastAsia="zh-CN"/>
        </w:rPr>
        <w:t>（引言）</w:t>
      </w:r>
    </w:p>
    <w:p w14:paraId="1D398E30">
      <w:pPr>
        <w:widowControl w:val="0"/>
        <w:ind w:firstLine="562"/>
        <w:jc w:val="both"/>
        <w:outlineLvl w:val="1"/>
        <w:rPr>
          <w:rFonts w:ascii="宋体" w:hAnsi="宋体" w:eastAsia="宋体" w:cs="宋体"/>
          <w:b/>
          <w:bCs/>
          <w:sz w:val="28"/>
          <w:szCs w:val="28"/>
        </w:rPr>
      </w:pPr>
      <w:bookmarkStart w:id="1" w:name="_Toc17377"/>
      <w:r>
        <w:rPr>
          <w:rFonts w:hint="eastAsia" w:ascii="宋体" w:hAnsi="宋体" w:eastAsia="宋体" w:cs="宋体"/>
          <w:b/>
          <w:bCs/>
          <w:sz w:val="28"/>
          <w:szCs w:val="28"/>
        </w:rPr>
        <w:t>（一）研究背景和意义</w:t>
      </w:r>
      <w:bookmarkEnd w:id="1"/>
    </w:p>
    <w:p w14:paraId="22272BA1">
      <w:pPr>
        <w:widowControl w:val="0"/>
        <w:ind w:firstLine="480"/>
        <w:jc w:val="both"/>
        <w:outlineLvl w:val="2"/>
        <w:rPr>
          <w:rFonts w:ascii="宋体" w:hAnsi="宋体" w:eastAsia="宋体" w:cs="宋体"/>
          <w:szCs w:val="24"/>
        </w:rPr>
      </w:pPr>
      <w:bookmarkStart w:id="2" w:name="_Toc5100"/>
      <w:r>
        <w:rPr>
          <w:rFonts w:hint="eastAsia" w:ascii="宋体" w:hAnsi="宋体" w:eastAsia="宋体" w:cs="宋体"/>
          <w:szCs w:val="24"/>
        </w:rPr>
        <w:t>1.研究背景</w:t>
      </w:r>
      <w:bookmarkEnd w:id="2"/>
    </w:p>
    <w:p w14:paraId="17C0C5CA">
      <w:pPr>
        <w:widowControl w:val="0"/>
        <w:ind w:firstLine="480"/>
        <w:jc w:val="both"/>
        <w:rPr>
          <w:rFonts w:ascii="宋体" w:hAnsi="宋体" w:eastAsia="宋体" w:cs="宋体"/>
          <w:szCs w:val="24"/>
        </w:rPr>
      </w:pPr>
      <w:r>
        <w:rPr>
          <w:rFonts w:hint="eastAsia" w:ascii="宋体" w:hAnsi="宋体" w:eastAsia="宋体" w:cs="宋体"/>
          <w:szCs w:val="24"/>
        </w:rPr>
        <w:t>2023 年疫情过后的中国餐饮业逐渐走向恢复，营销策略研究在这个阶段显 得尤为重要，在经历了长达两年多的新冠疫情之后，餐饮行业受到了极大的冲击， 许多餐饮门店被迫关闭，营业额大幅下滑，人员闲置等问题层出不穷。……</w:t>
      </w:r>
    </w:p>
    <w:p w14:paraId="2C10560C">
      <w:pPr>
        <w:widowControl w:val="0"/>
        <w:ind w:firstLine="480"/>
        <w:jc w:val="both"/>
        <w:outlineLvl w:val="2"/>
        <w:rPr>
          <w:rFonts w:ascii="宋体" w:hAnsi="宋体" w:eastAsia="宋体" w:cs="宋体"/>
          <w:szCs w:val="24"/>
        </w:rPr>
      </w:pPr>
      <w:bookmarkStart w:id="3" w:name="_Toc1035"/>
      <w:r>
        <w:rPr>
          <w:rFonts w:hint="eastAsia" w:ascii="宋体" w:hAnsi="宋体" w:eastAsia="宋体" w:cs="宋体"/>
          <w:szCs w:val="24"/>
        </w:rPr>
        <w:t>2.研究意义</w:t>
      </w:r>
      <w:bookmarkEnd w:id="3"/>
    </w:p>
    <w:p w14:paraId="3A74BA4A">
      <w:pPr>
        <w:widowControl w:val="0"/>
        <w:ind w:firstLine="480"/>
        <w:jc w:val="both"/>
        <w:rPr>
          <w:rFonts w:ascii="宋体" w:hAnsi="宋体" w:eastAsia="宋体" w:cs="宋体"/>
          <w:szCs w:val="24"/>
        </w:rPr>
      </w:pPr>
      <w:r>
        <w:rPr>
          <w:rFonts w:ascii="黑体" w:hAnsi="黑体" w:eastAsia="黑体"/>
          <w:sz w:val="32"/>
          <w:szCs w:val="32"/>
        </w:rPr>
        <mc:AlternateContent>
          <mc:Choice Requires="wps">
            <w:drawing>
              <wp:anchor distT="0" distB="0" distL="114300" distR="114300" simplePos="0" relativeHeight="251662336" behindDoc="0" locked="0" layoutInCell="1" allowOverlap="1">
                <wp:simplePos x="0" y="0"/>
                <wp:positionH relativeFrom="column">
                  <wp:posOffset>1795145</wp:posOffset>
                </wp:positionH>
                <wp:positionV relativeFrom="paragraph">
                  <wp:posOffset>97790</wp:posOffset>
                </wp:positionV>
                <wp:extent cx="4265295" cy="1507490"/>
                <wp:effectExtent l="4445" t="1467485" r="12700" b="12065"/>
                <wp:wrapNone/>
                <wp:docPr id="6" name="圆角矩形标注 6"/>
                <wp:cNvGraphicFramePr/>
                <a:graphic xmlns:a="http://schemas.openxmlformats.org/drawingml/2006/main">
                  <a:graphicData uri="http://schemas.microsoft.com/office/word/2010/wordprocessingShape">
                    <wps:wsp>
                      <wps:cNvSpPr>
                        <a:spLocks noChangeArrowheads="1"/>
                      </wps:cNvSpPr>
                      <wps:spPr bwMode="auto">
                        <a:xfrm>
                          <a:off x="0" y="0"/>
                          <a:ext cx="4265295" cy="1507490"/>
                        </a:xfrm>
                        <a:prstGeom prst="wedgeRoundRectCallout">
                          <a:avLst>
                            <a:gd name="adj1" fmla="val -49046"/>
                            <a:gd name="adj2" fmla="val -146184"/>
                            <a:gd name="adj3" fmla="val 16667"/>
                          </a:avLst>
                        </a:prstGeom>
                        <a:solidFill>
                          <a:srgbClr val="FFFFFF">
                            <a:lumMod val="100000"/>
                            <a:lumOff val="0"/>
                          </a:srgbClr>
                        </a:solidFill>
                        <a:ln w="9525">
                          <a:solidFill>
                            <a:srgbClr val="000000"/>
                          </a:solidFill>
                          <a:miter lim="800000"/>
                        </a:ln>
                        <a:effectLst/>
                      </wps:spPr>
                      <wps:txbx>
                        <w:txbxContent>
                          <w:p w14:paraId="60232DE0">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一级标题小三号、宋体、加粗、1.5倍行距、居中。</w:t>
                            </w:r>
                          </w:p>
                          <w:p w14:paraId="699DC23B">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二级标题四号、宋体、加粗、靠左、空2格</w:t>
                            </w:r>
                            <w:r>
                              <w:rPr>
                                <w:rFonts w:hint="eastAsia" w:ascii="黑体" w:hAnsi="黑体" w:eastAsia="黑体"/>
                                <w:bCs/>
                                <w:color w:val="FF0000"/>
                                <w:szCs w:val="21"/>
                                <w:lang w:eastAsia="zh-CN"/>
                              </w:rPr>
                              <w:t>、1.5倍行距</w:t>
                            </w:r>
                            <w:r>
                              <w:rPr>
                                <w:rFonts w:hint="eastAsia" w:ascii="黑体" w:hAnsi="黑体" w:eastAsia="黑体"/>
                                <w:bCs/>
                                <w:color w:val="FF0000"/>
                                <w:szCs w:val="21"/>
                              </w:rPr>
                              <w:t>。</w:t>
                            </w:r>
                          </w:p>
                          <w:p w14:paraId="4E41F1CA">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三级标题小四号、宋体、靠左、空2格</w:t>
                            </w:r>
                            <w:r>
                              <w:rPr>
                                <w:rFonts w:hint="eastAsia" w:ascii="黑体" w:hAnsi="黑体" w:eastAsia="黑体"/>
                                <w:bCs/>
                                <w:color w:val="FF0000"/>
                                <w:szCs w:val="21"/>
                                <w:lang w:eastAsia="zh-CN"/>
                              </w:rPr>
                              <w:t>、1.5倍行距</w:t>
                            </w:r>
                            <w:r>
                              <w:rPr>
                                <w:rFonts w:hint="eastAsia" w:ascii="黑体" w:hAnsi="黑体" w:eastAsia="黑体"/>
                                <w:bCs/>
                                <w:color w:val="FF0000"/>
                                <w:szCs w:val="21"/>
                              </w:rPr>
                              <w:t>。</w:t>
                            </w:r>
                          </w:p>
                          <w:p w14:paraId="6D7F3443">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正文字体选用：小四号</w:t>
                            </w:r>
                            <w:r>
                              <w:rPr>
                                <w:rFonts w:hint="eastAsia" w:ascii="黑体" w:hAnsi="黑体" w:eastAsia="黑体"/>
                                <w:bCs/>
                                <w:color w:val="FF0000"/>
                                <w:szCs w:val="21"/>
                                <w:lang w:eastAsia="zh-CN"/>
                              </w:rPr>
                              <w:t>、</w:t>
                            </w:r>
                            <w:r>
                              <w:rPr>
                                <w:rFonts w:hint="eastAsia" w:ascii="黑体" w:hAnsi="黑体" w:eastAsia="黑体"/>
                                <w:bCs/>
                                <w:color w:val="FF0000"/>
                                <w:szCs w:val="21"/>
                              </w:rPr>
                              <w:t>宋体</w:t>
                            </w:r>
                            <w:r>
                              <w:rPr>
                                <w:rFonts w:hint="eastAsia" w:ascii="黑体" w:hAnsi="黑体" w:eastAsia="黑体"/>
                                <w:bCs/>
                                <w:color w:val="FF0000"/>
                                <w:szCs w:val="21"/>
                                <w:lang w:eastAsia="zh-CN"/>
                              </w:rPr>
                              <w:t>、</w:t>
                            </w:r>
                            <w:r>
                              <w:rPr>
                                <w:rFonts w:hint="eastAsia" w:ascii="黑体" w:hAnsi="黑体" w:eastAsia="黑体"/>
                                <w:bCs/>
                                <w:color w:val="FF0000"/>
                                <w:szCs w:val="21"/>
                              </w:rPr>
                              <w:t>段落前空2格</w:t>
                            </w:r>
                            <w:r>
                              <w:rPr>
                                <w:rFonts w:hint="eastAsia" w:ascii="黑体" w:hAnsi="黑体" w:eastAsia="黑体"/>
                                <w:bCs/>
                                <w:color w:val="FF0000"/>
                                <w:szCs w:val="21"/>
                                <w:lang w:eastAsia="zh-CN"/>
                              </w:rPr>
                              <w:t>、</w:t>
                            </w:r>
                            <w:r>
                              <w:rPr>
                                <w:rFonts w:hint="eastAsia" w:ascii="黑体" w:hAnsi="黑体" w:eastAsia="黑体"/>
                                <w:bCs/>
                                <w:color w:val="FF0000"/>
                                <w:szCs w:val="21"/>
                              </w:rPr>
                              <w:t>1.5倍行距。</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41.35pt;margin-top:7.7pt;height:118.7pt;width:335.85pt;z-index:251662336;mso-width-relative:page;mso-height-relative:page;" fillcolor="#FFFFFF" filled="t" stroked="t" coordsize="21600,21600" o:gfxdata="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L2fnfZAAAACgEAAA8AAAAAAAAAAQAgAAAAIgAAAGRycy9kb3du&#10;cmV2LnhtbFBLAQIUABQAAAAIAIdO4kDH2WAFqQIAAFQFAAAOAAAAAAAAAAEAIAAAACgBAABkcnMv&#10;ZTJvRG9jLnhtbFBLBQYAAAAABgAGAFkBAABDBgAAAAA=&#10;" adj="206,-20776,14400">
                <v:path/>
                <v:fill on="t" focussize="0,0"/>
                <v:stroke joinstyle="miter"/>
                <v:imagedata o:title=""/>
                <o:lock v:ext="edit" aspectratio="f"/>
                <v:textbox>
                  <w:txbxContent>
                    <w:p w14:paraId="60232DE0">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一级标题小三号、宋体、加粗、1.5倍行距、居中。</w:t>
                      </w:r>
                    </w:p>
                    <w:p w14:paraId="699DC23B">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二级标题四号、宋体、加粗、靠左、空2格</w:t>
                      </w:r>
                      <w:r>
                        <w:rPr>
                          <w:rFonts w:hint="eastAsia" w:ascii="黑体" w:hAnsi="黑体" w:eastAsia="黑体"/>
                          <w:bCs/>
                          <w:color w:val="FF0000"/>
                          <w:szCs w:val="21"/>
                          <w:lang w:eastAsia="zh-CN"/>
                        </w:rPr>
                        <w:t>、1.5倍行距</w:t>
                      </w:r>
                      <w:r>
                        <w:rPr>
                          <w:rFonts w:hint="eastAsia" w:ascii="黑体" w:hAnsi="黑体" w:eastAsia="黑体"/>
                          <w:bCs/>
                          <w:color w:val="FF0000"/>
                          <w:szCs w:val="21"/>
                        </w:rPr>
                        <w:t>。</w:t>
                      </w:r>
                    </w:p>
                    <w:p w14:paraId="4E41F1CA">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三级标题小四号、宋体、靠左、空2格</w:t>
                      </w:r>
                      <w:r>
                        <w:rPr>
                          <w:rFonts w:hint="eastAsia" w:ascii="黑体" w:hAnsi="黑体" w:eastAsia="黑体"/>
                          <w:bCs/>
                          <w:color w:val="FF0000"/>
                          <w:szCs w:val="21"/>
                          <w:lang w:eastAsia="zh-CN"/>
                        </w:rPr>
                        <w:t>、1.5倍行距</w:t>
                      </w:r>
                      <w:r>
                        <w:rPr>
                          <w:rFonts w:hint="eastAsia" w:ascii="黑体" w:hAnsi="黑体" w:eastAsia="黑体"/>
                          <w:bCs/>
                          <w:color w:val="FF0000"/>
                          <w:szCs w:val="21"/>
                        </w:rPr>
                        <w:t>。</w:t>
                      </w:r>
                    </w:p>
                    <w:p w14:paraId="6D7F3443">
                      <w:pPr>
                        <w:ind w:left="0" w:leftChars="0" w:firstLine="0" w:firstLineChars="0"/>
                        <w:rPr>
                          <w:rFonts w:hint="eastAsia" w:ascii="黑体" w:hAnsi="黑体" w:eastAsia="黑体"/>
                          <w:bCs/>
                          <w:color w:val="FF0000"/>
                          <w:szCs w:val="21"/>
                        </w:rPr>
                      </w:pPr>
                      <w:r>
                        <w:rPr>
                          <w:rFonts w:hint="eastAsia" w:ascii="黑体" w:hAnsi="黑体" w:eastAsia="黑体"/>
                          <w:bCs/>
                          <w:color w:val="FF0000"/>
                          <w:szCs w:val="21"/>
                        </w:rPr>
                        <w:t>正文字体选用：小四号</w:t>
                      </w:r>
                      <w:r>
                        <w:rPr>
                          <w:rFonts w:hint="eastAsia" w:ascii="黑体" w:hAnsi="黑体" w:eastAsia="黑体"/>
                          <w:bCs/>
                          <w:color w:val="FF0000"/>
                          <w:szCs w:val="21"/>
                          <w:lang w:eastAsia="zh-CN"/>
                        </w:rPr>
                        <w:t>、</w:t>
                      </w:r>
                      <w:r>
                        <w:rPr>
                          <w:rFonts w:hint="eastAsia" w:ascii="黑体" w:hAnsi="黑体" w:eastAsia="黑体"/>
                          <w:bCs/>
                          <w:color w:val="FF0000"/>
                          <w:szCs w:val="21"/>
                        </w:rPr>
                        <w:t>宋体</w:t>
                      </w:r>
                      <w:r>
                        <w:rPr>
                          <w:rFonts w:hint="eastAsia" w:ascii="黑体" w:hAnsi="黑体" w:eastAsia="黑体"/>
                          <w:bCs/>
                          <w:color w:val="FF0000"/>
                          <w:szCs w:val="21"/>
                          <w:lang w:eastAsia="zh-CN"/>
                        </w:rPr>
                        <w:t>、</w:t>
                      </w:r>
                      <w:r>
                        <w:rPr>
                          <w:rFonts w:hint="eastAsia" w:ascii="黑体" w:hAnsi="黑体" w:eastAsia="黑体"/>
                          <w:bCs/>
                          <w:color w:val="FF0000"/>
                          <w:szCs w:val="21"/>
                        </w:rPr>
                        <w:t>段落前空2格</w:t>
                      </w:r>
                      <w:r>
                        <w:rPr>
                          <w:rFonts w:hint="eastAsia" w:ascii="黑体" w:hAnsi="黑体" w:eastAsia="黑体"/>
                          <w:bCs/>
                          <w:color w:val="FF0000"/>
                          <w:szCs w:val="21"/>
                          <w:lang w:eastAsia="zh-CN"/>
                        </w:rPr>
                        <w:t>、</w:t>
                      </w:r>
                      <w:r>
                        <w:rPr>
                          <w:rFonts w:hint="eastAsia" w:ascii="黑体" w:hAnsi="黑体" w:eastAsia="黑体"/>
                          <w:bCs/>
                          <w:color w:val="FF0000"/>
                          <w:szCs w:val="21"/>
                        </w:rPr>
                        <w:t>1.5倍行距。</w:t>
                      </w:r>
                    </w:p>
                  </w:txbxContent>
                </v:textbox>
              </v:shape>
            </w:pict>
          </mc:Fallback>
        </mc:AlternateContent>
      </w:r>
      <w:r>
        <w:rPr>
          <w:rFonts w:hint="eastAsia" w:ascii="宋体" w:hAnsi="宋体" w:eastAsia="宋体" w:cs="宋体"/>
          <w:szCs w:val="24"/>
        </w:rPr>
        <w:t>（1）理论意义</w:t>
      </w:r>
    </w:p>
    <w:p w14:paraId="2C283A0A">
      <w:pPr>
        <w:widowControl w:val="0"/>
        <w:ind w:firstLine="480"/>
        <w:jc w:val="both"/>
        <w:rPr>
          <w:rFonts w:ascii="宋体" w:hAnsi="宋体" w:eastAsia="宋体" w:cs="宋体"/>
          <w:szCs w:val="24"/>
        </w:rPr>
      </w:pPr>
      <w:r>
        <w:rPr>
          <w:rFonts w:hint="eastAsia" w:ascii="宋体" w:hAnsi="宋体" w:eastAsia="宋体" w:cs="宋体"/>
          <w:szCs w:val="24"/>
        </w:rPr>
        <w:t>本文查找了国内外在营销方面相关研究资料，运用7P理论开展分析，并充 分了解国内餐饮行业发展情况，本文选择H餐饮公司作为研究对象……</w:t>
      </w:r>
    </w:p>
    <w:p w14:paraId="5EDC4E23">
      <w:pPr>
        <w:widowControl w:val="0"/>
        <w:ind w:firstLine="480"/>
        <w:jc w:val="both"/>
        <w:rPr>
          <w:rFonts w:ascii="宋体" w:hAnsi="宋体" w:eastAsia="宋体" w:cs="宋体"/>
          <w:szCs w:val="24"/>
        </w:rPr>
      </w:pPr>
      <w:r>
        <w:rPr>
          <w:rFonts w:hint="eastAsia" w:ascii="宋体" w:hAnsi="宋体" w:eastAsia="宋体" w:cs="宋体"/>
          <w:szCs w:val="24"/>
        </w:rPr>
        <w:t>（2）实践意义</w:t>
      </w:r>
    </w:p>
    <w:p w14:paraId="3CC75DDE">
      <w:pPr>
        <w:widowControl w:val="0"/>
        <w:ind w:firstLine="480"/>
        <w:jc w:val="both"/>
        <w:rPr>
          <w:rFonts w:ascii="宋体" w:hAnsi="宋体" w:eastAsia="宋体" w:cs="宋体"/>
          <w:szCs w:val="24"/>
        </w:rPr>
      </w:pPr>
      <w:r>
        <w:rPr>
          <w:rFonts w:hint="eastAsia" w:ascii="宋体" w:hAnsi="宋体" w:eastAsia="宋体" w:cs="宋体"/>
          <w:szCs w:val="24"/>
        </w:rPr>
        <w:t xml:space="preserve">本文通过深入的调查研究和市场营销理论的深度分析，对H公司…… </w:t>
      </w:r>
    </w:p>
    <w:p w14:paraId="411FA740">
      <w:pPr>
        <w:widowControl w:val="0"/>
        <w:ind w:firstLine="562"/>
        <w:jc w:val="both"/>
        <w:outlineLvl w:val="1"/>
        <w:rPr>
          <w:rFonts w:ascii="宋体" w:hAnsi="宋体" w:eastAsia="宋体" w:cs="宋体"/>
          <w:b/>
          <w:bCs/>
          <w:sz w:val="28"/>
          <w:szCs w:val="28"/>
        </w:rPr>
      </w:pPr>
      <w:bookmarkStart w:id="4" w:name="_Toc16220"/>
      <w:r>
        <w:rPr>
          <w:rFonts w:hint="eastAsia" w:ascii="宋体" w:hAnsi="宋体" w:eastAsia="宋体" w:cs="宋体"/>
          <w:b/>
          <w:bCs/>
          <w:sz w:val="28"/>
          <w:szCs w:val="28"/>
        </w:rPr>
        <w:t>（二）国内外相关研究综述</w:t>
      </w:r>
      <w:bookmarkEnd w:id="4"/>
    </w:p>
    <w:p w14:paraId="79B1D35D">
      <w:pPr>
        <w:widowControl w:val="0"/>
        <w:ind w:firstLine="480"/>
        <w:jc w:val="both"/>
        <w:rPr>
          <w:rFonts w:ascii="宋体" w:hAnsi="宋体" w:eastAsia="宋体" w:cs="宋体"/>
          <w:szCs w:val="24"/>
        </w:rPr>
      </w:pPr>
      <w:r>
        <w:rPr>
          <w:rFonts w:hint="eastAsia" w:ascii="宋体" w:hAnsi="宋体" w:eastAsia="宋体" w:cs="宋体"/>
          <w:szCs w:val="24"/>
        </w:rPr>
        <w:t>在全球化的背景下，餐饮业作为与人们日常生活密切相关的行业，其市场营 销的发展与变革受到了广泛关注。……</w:t>
      </w:r>
    </w:p>
    <w:p w14:paraId="407D2F0B">
      <w:pPr>
        <w:widowControl w:val="0"/>
        <w:ind w:firstLine="480"/>
        <w:jc w:val="both"/>
        <w:outlineLvl w:val="2"/>
        <w:rPr>
          <w:rFonts w:ascii="宋体" w:hAnsi="宋体" w:eastAsia="宋体" w:cs="宋体"/>
          <w:szCs w:val="24"/>
        </w:rPr>
      </w:pPr>
      <w:bookmarkStart w:id="5" w:name="_Toc9485"/>
      <w:r>
        <w:rPr>
          <w:rFonts w:hint="eastAsia" w:ascii="宋体" w:hAnsi="宋体" w:eastAsia="宋体" w:cs="宋体"/>
          <w:szCs w:val="24"/>
        </w:rPr>
        <w:t>1.国外研究现状</w:t>
      </w:r>
      <w:bookmarkEnd w:id="5"/>
    </w:p>
    <w:p w14:paraId="05B97880">
      <w:pPr>
        <w:widowControl w:val="0"/>
        <w:ind w:firstLine="480"/>
        <w:jc w:val="both"/>
        <w:rPr>
          <w:rFonts w:ascii="宋体" w:hAnsi="宋体" w:eastAsia="宋体" w:cs="宋体"/>
          <w:szCs w:val="24"/>
        </w:rPr>
      </w:pPr>
      <w:r>
        <w:rPr>
          <w:rFonts w:hint="eastAsia" w:ascii="宋体" w:hAnsi="宋体" w:eastAsia="宋体" w:cs="宋体"/>
          <w:szCs w:val="24"/>
        </w:rPr>
        <w:t>Abhilash（2019）对零售店的营销策略进行了深入研究，……</w:t>
      </w:r>
    </w:p>
    <w:p w14:paraId="792ECF17">
      <w:pPr>
        <w:widowControl w:val="0"/>
        <w:ind w:firstLine="480"/>
        <w:jc w:val="both"/>
        <w:outlineLvl w:val="2"/>
        <w:rPr>
          <w:rFonts w:ascii="宋体" w:hAnsi="宋体" w:eastAsia="宋体" w:cs="宋体"/>
          <w:szCs w:val="24"/>
        </w:rPr>
      </w:pPr>
      <w:bookmarkStart w:id="6" w:name="_Toc15616"/>
      <w:r>
        <w:rPr>
          <w:rFonts w:hint="eastAsia" w:ascii="宋体" w:hAnsi="宋体" w:eastAsia="宋体" w:cs="宋体"/>
          <w:szCs w:val="24"/>
        </w:rPr>
        <w:t>2.国内研究现状</w:t>
      </w:r>
      <w:bookmarkEnd w:id="6"/>
    </w:p>
    <w:p w14:paraId="6578BB15">
      <w:pPr>
        <w:widowControl w:val="0"/>
        <w:ind w:firstLine="480"/>
        <w:jc w:val="both"/>
        <w:rPr>
          <w:rFonts w:ascii="宋体" w:hAnsi="宋体" w:eastAsia="宋体" w:cs="宋体"/>
          <w:szCs w:val="24"/>
        </w:rPr>
      </w:pPr>
      <w:r>
        <w:rPr>
          <w:rFonts w:hint="eastAsia" w:ascii="宋体" w:hAnsi="宋体" w:eastAsia="宋体" w:cs="宋体"/>
          <w:szCs w:val="24"/>
        </w:rPr>
        <w:t>董岩等（2020）的研究深入探讨了线上营销对消费者感知价值和风险……</w:t>
      </w:r>
    </w:p>
    <w:p w14:paraId="467B0D75">
      <w:pPr>
        <w:widowControl w:val="0"/>
        <w:ind w:firstLine="480"/>
        <w:jc w:val="both"/>
        <w:outlineLvl w:val="2"/>
        <w:rPr>
          <w:rFonts w:ascii="宋体" w:hAnsi="宋体" w:eastAsia="宋体" w:cs="宋体"/>
          <w:szCs w:val="24"/>
        </w:rPr>
      </w:pPr>
      <w:bookmarkStart w:id="7" w:name="_Toc10820"/>
      <w:r>
        <w:rPr>
          <w:rFonts w:hint="eastAsia" w:ascii="宋体" w:hAnsi="宋体" w:eastAsia="宋体" w:cs="宋体"/>
          <w:szCs w:val="24"/>
        </w:rPr>
        <w:t>3.文献述评</w:t>
      </w:r>
      <w:bookmarkEnd w:id="7"/>
    </w:p>
    <w:p w14:paraId="2161987F">
      <w:pPr>
        <w:widowControl w:val="0"/>
        <w:ind w:firstLine="480"/>
        <w:jc w:val="both"/>
        <w:rPr>
          <w:rFonts w:ascii="宋体" w:hAnsi="宋体" w:eastAsia="宋体" w:cs="宋体"/>
          <w:szCs w:val="24"/>
        </w:rPr>
      </w:pPr>
      <w:r>
        <w:rPr>
          <w:rFonts w:hint="eastAsia" w:ascii="宋体" w:hAnsi="宋体" w:eastAsia="宋体" w:cs="宋体"/>
          <w:szCs w:val="24"/>
        </w:rPr>
        <w:t>在对营销策略相关文献进行深入梳理后，我们发现国内外的研究……</w:t>
      </w:r>
    </w:p>
    <w:p w14:paraId="34643E38">
      <w:pPr>
        <w:widowControl w:val="0"/>
        <w:ind w:firstLine="562"/>
        <w:jc w:val="both"/>
        <w:outlineLvl w:val="1"/>
        <w:rPr>
          <w:rFonts w:ascii="宋体" w:hAnsi="宋体" w:eastAsia="宋体" w:cs="宋体"/>
          <w:b/>
          <w:bCs/>
          <w:sz w:val="28"/>
          <w:szCs w:val="28"/>
        </w:rPr>
      </w:pPr>
      <w:bookmarkStart w:id="8" w:name="_Toc21137"/>
      <w:r>
        <w:rPr>
          <w:rFonts w:hint="eastAsia" w:ascii="宋体" w:hAnsi="宋体" w:eastAsia="宋体" w:cs="宋体"/>
          <w:b/>
          <w:bCs/>
          <w:sz w:val="28"/>
          <w:szCs w:val="28"/>
        </w:rPr>
        <w:t>（三）研究思路和内容</w:t>
      </w:r>
      <w:bookmarkEnd w:id="8"/>
      <w:r>
        <w:rPr>
          <w:rFonts w:ascii="宋体" w:hAnsi="宋体"/>
          <w:b/>
          <w:sz w:val="32"/>
          <w:szCs w:val="32"/>
        </w:rPr>
        <mc:AlternateContent>
          <mc:Choice Requires="wps">
            <w:drawing>
              <wp:anchor distT="0" distB="0" distL="114300" distR="114300" simplePos="0" relativeHeight="251663360" behindDoc="0" locked="0" layoutInCell="1" allowOverlap="1">
                <wp:simplePos x="0" y="0"/>
                <wp:positionH relativeFrom="column">
                  <wp:posOffset>2330450</wp:posOffset>
                </wp:positionH>
                <wp:positionV relativeFrom="paragraph">
                  <wp:posOffset>311150</wp:posOffset>
                </wp:positionV>
                <wp:extent cx="2579370" cy="819150"/>
                <wp:effectExtent l="4445" t="4445" r="6985" b="761365"/>
                <wp:wrapNone/>
                <wp:docPr id="7" name="矩形标注 7"/>
                <wp:cNvGraphicFramePr/>
                <a:graphic xmlns:a="http://schemas.openxmlformats.org/drawingml/2006/main">
                  <a:graphicData uri="http://schemas.microsoft.com/office/word/2010/wordprocessingShape">
                    <wps:wsp>
                      <wps:cNvSpPr>
                        <a:spLocks noChangeArrowheads="1"/>
                      </wps:cNvSpPr>
                      <wps:spPr bwMode="auto">
                        <a:xfrm>
                          <a:off x="0" y="0"/>
                          <a:ext cx="2579370" cy="819150"/>
                        </a:xfrm>
                        <a:prstGeom prst="wedgeRectCallout">
                          <a:avLst>
                            <a:gd name="adj1" fmla="val -27720"/>
                            <a:gd name="adj2" fmla="val 140697"/>
                          </a:avLst>
                        </a:prstGeom>
                        <a:solidFill>
                          <a:srgbClr val="FFFFFF"/>
                        </a:solidFill>
                        <a:ln w="9525">
                          <a:solidFill>
                            <a:srgbClr val="000000"/>
                          </a:solidFill>
                          <a:miter lim="800000"/>
                        </a:ln>
                        <a:effectLst/>
                      </wps:spPr>
                      <wps:txbx>
                        <w:txbxContent>
                          <w:p w14:paraId="6CF44CA2">
                            <w:pPr>
                              <w:pStyle w:val="10"/>
                              <w:rPr>
                                <w:rFonts w:hint="eastAsia" w:ascii="黑体" w:hAnsi="黑体" w:eastAsia="黑体" w:cs="黑体"/>
                                <w:color w:val="FF0000"/>
                              </w:rPr>
                            </w:pPr>
                            <w:r>
                              <w:rPr>
                                <w:rFonts w:hint="eastAsia" w:ascii="黑体" w:hAnsi="黑体" w:eastAsia="黑体" w:cs="黑体"/>
                                <w:color w:val="FF0000"/>
                              </w:rPr>
                              <w:t>从第1章开始即正文的开始。论文正文部分页码选用小写阿拉伯数字；如：1,2,3,4,5</w:t>
                            </w:r>
                          </w:p>
                          <w:p w14:paraId="4EC0A1B3">
                            <w:pPr>
                              <w:pStyle w:val="10"/>
                              <w:rPr>
                                <w:color w:val="FF0000"/>
                              </w:rPr>
                            </w:pP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183.5pt;margin-top:24.5pt;height:64.5pt;width:203.1pt;z-index:251663360;mso-width-relative:page;mso-height-relative:page;" fillcolor="#FFFFFF" filled="t" stroked="t" coordsize="21600,21600" o:gfxdata="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PUA6LXXAAAACgEAAA8AAAAAAAAAAQAgAAAAIgAAAGRycy9kb3du&#10;cmV2LnhtbFBLAQIUABQAAAAIAIdO4kCVThMvcgIAAO0EAAAOAAAAAAAAAAEAIAAAACYBAABkcnMv&#10;ZTJvRG9jLnhtbFBLBQYAAAAABgAGAFkBAAAKBgAAAAA=&#10;" adj="4812,41191">
                <v:path/>
                <v:fill on="t" focussize="0,0"/>
                <v:stroke joinstyle="miter"/>
                <v:imagedata o:title=""/>
                <o:lock v:ext="edit" aspectratio="f"/>
                <v:textbox>
                  <w:txbxContent>
                    <w:p w14:paraId="6CF44CA2">
                      <w:pPr>
                        <w:pStyle w:val="10"/>
                        <w:rPr>
                          <w:rFonts w:hint="eastAsia" w:ascii="黑体" w:hAnsi="黑体" w:eastAsia="黑体" w:cs="黑体"/>
                          <w:color w:val="FF0000"/>
                        </w:rPr>
                      </w:pPr>
                      <w:r>
                        <w:rPr>
                          <w:rFonts w:hint="eastAsia" w:ascii="黑体" w:hAnsi="黑体" w:eastAsia="黑体" w:cs="黑体"/>
                          <w:color w:val="FF0000"/>
                        </w:rPr>
                        <w:t>从第1章开始即正文的开始。论文正文部分页码选用小写阿拉伯数字；如：1,2,3,4,5</w:t>
                      </w:r>
                    </w:p>
                    <w:p w14:paraId="4EC0A1B3">
                      <w:pPr>
                        <w:pStyle w:val="10"/>
                        <w:rPr>
                          <w:color w:val="FF0000"/>
                        </w:rPr>
                      </w:pPr>
                    </w:p>
                  </w:txbxContent>
                </v:textbox>
              </v:shape>
            </w:pict>
          </mc:Fallback>
        </mc:AlternateContent>
      </w:r>
    </w:p>
    <w:p w14:paraId="7D2D6535">
      <w:pPr>
        <w:widowControl w:val="0"/>
        <w:ind w:firstLine="480"/>
        <w:jc w:val="both"/>
        <w:outlineLvl w:val="2"/>
        <w:rPr>
          <w:rFonts w:ascii="宋体" w:hAnsi="宋体" w:eastAsia="宋体" w:cs="宋体"/>
          <w:szCs w:val="24"/>
        </w:rPr>
      </w:pPr>
      <w:bookmarkStart w:id="9" w:name="_Toc6928"/>
      <w:r>
        <w:rPr>
          <w:rFonts w:hint="eastAsia" w:ascii="宋体" w:hAnsi="宋体" w:eastAsia="宋体" w:cs="宋体"/>
          <w:szCs w:val="24"/>
        </w:rPr>
        <w:t>1.研究思路</w:t>
      </w:r>
      <w:bookmarkEnd w:id="9"/>
    </w:p>
    <w:p w14:paraId="6BCF99B7">
      <w:pPr>
        <w:widowControl w:val="0"/>
        <w:ind w:firstLine="480"/>
        <w:jc w:val="both"/>
        <w:rPr>
          <w:rFonts w:ascii="宋体" w:hAnsi="宋体" w:eastAsia="宋体" w:cs="宋体"/>
          <w:szCs w:val="24"/>
        </w:rPr>
      </w:pPr>
      <w:r>
        <w:rPr>
          <w:rFonts w:hint="eastAsia" w:ascii="宋体" w:hAnsi="宋体" w:eastAsia="宋体" w:cs="宋体"/>
          <w:szCs w:val="24"/>
        </w:rPr>
        <w:t>本文首先介绍了餐饮行业的背景，阐述了研究的意义，并结合国内外研究的</w:t>
      </w:r>
    </w:p>
    <w:p w14:paraId="6FF7AC2A">
      <w:pPr>
        <w:widowControl w:val="0"/>
        <w:ind w:firstLine="0" w:firstLineChars="0"/>
        <w:jc w:val="both"/>
        <w:rPr>
          <w:rFonts w:ascii="宋体" w:hAnsi="宋体" w:eastAsia="宋体" w:cs="宋体"/>
          <w:szCs w:val="24"/>
        </w:rPr>
      </w:pPr>
      <w:r>
        <w:rPr>
          <w:rFonts w:hint="eastAsia" w:ascii="宋体" w:hAnsi="宋体" w:eastAsia="宋体" w:cs="宋体"/>
          <w:szCs w:val="24"/>
        </w:rPr>
        <w:t>情况，基于7P营销理论，运用文献研究法、问卷调查法、案例分析法来分析， 围绕提出问题、分析问题、解决问题展开，本次研究的思路如图 1-1 所示：</w:t>
      </w:r>
    </w:p>
    <w:p w14:paraId="4631B3E5">
      <w:pPr>
        <w:widowControl w:val="0"/>
        <w:ind w:firstLine="0" w:firstLineChars="0"/>
        <w:jc w:val="both"/>
        <w:rPr>
          <w:rFonts w:ascii="宋体" w:hAnsi="宋体" w:eastAsia="宋体" w:cs="宋体"/>
          <w:szCs w:val="24"/>
        </w:rPr>
      </w:pPr>
    </w:p>
    <w:p w14:paraId="2F1B07F5">
      <w:pPr>
        <w:widowControl w:val="0"/>
        <w:ind w:firstLine="0" w:firstLineChars="0"/>
        <w:jc w:val="both"/>
        <w:rPr>
          <w:rFonts w:hint="eastAsia" w:ascii="宋体" w:hAnsi="宋体" w:eastAsia="宋体" w:cs="宋体"/>
          <w:szCs w:val="24"/>
        </w:rPr>
      </w:pPr>
    </w:p>
    <w:p w14:paraId="54B6043A">
      <w:pPr>
        <w:widowControl w:val="0"/>
        <w:ind w:firstLine="0" w:firstLineChars="0"/>
        <w:jc w:val="both"/>
        <w:rPr>
          <w:rFonts w:ascii="宋体" w:hAnsi="宋体" w:eastAsia="宋体" w:cs="宋体"/>
          <w:szCs w:val="24"/>
        </w:rPr>
      </w:pPr>
      <w:r>
        <w:rPr>
          <w:rFonts w:ascii="Calibri" w:hAnsi="Calibri" w:eastAsia="宋体" w:cs="Times New Roman"/>
          <w:position w:val="-135"/>
          <w:sz w:val="21"/>
          <w:szCs w:val="24"/>
        </w:rPr>
        <w:drawing>
          <wp:anchor distT="0" distB="0" distL="114300" distR="114300" simplePos="0" relativeHeight="251659264" behindDoc="0" locked="0" layoutInCell="1" allowOverlap="1">
            <wp:simplePos x="0" y="0"/>
            <wp:positionH relativeFrom="column">
              <wp:posOffset>490855</wp:posOffset>
            </wp:positionH>
            <wp:positionV relativeFrom="paragraph">
              <wp:posOffset>-527050</wp:posOffset>
            </wp:positionV>
            <wp:extent cx="4556760" cy="3278505"/>
            <wp:effectExtent l="0" t="0" r="0" b="13335"/>
            <wp:wrapNone/>
            <wp:docPr id="4" name="IM 6"/>
            <wp:cNvGraphicFramePr/>
            <a:graphic xmlns:a="http://schemas.openxmlformats.org/drawingml/2006/main">
              <a:graphicData uri="http://schemas.openxmlformats.org/drawingml/2006/picture">
                <pic:pic xmlns:pic="http://schemas.openxmlformats.org/drawingml/2006/picture">
                  <pic:nvPicPr>
                    <pic:cNvPr id="4" name="IM 6"/>
                    <pic:cNvPicPr/>
                  </pic:nvPicPr>
                  <pic:blipFill>
                    <a:blip r:embed="rId8"/>
                    <a:stretch>
                      <a:fillRect/>
                    </a:stretch>
                  </pic:blipFill>
                  <pic:spPr>
                    <a:xfrm>
                      <a:off x="0" y="0"/>
                      <a:ext cx="4556760" cy="3278505"/>
                    </a:xfrm>
                    <a:prstGeom prst="rect">
                      <a:avLst/>
                    </a:prstGeom>
                    <a:noFill/>
                    <a:ln>
                      <a:noFill/>
                    </a:ln>
                  </pic:spPr>
                </pic:pic>
              </a:graphicData>
            </a:graphic>
          </wp:anchor>
        </w:drawing>
      </w:r>
    </w:p>
    <w:p w14:paraId="517A4FA4">
      <w:pPr>
        <w:widowControl w:val="0"/>
        <w:ind w:firstLine="0" w:firstLineChars="0"/>
        <w:jc w:val="both"/>
        <w:rPr>
          <w:rFonts w:ascii="宋体" w:hAnsi="宋体" w:eastAsia="宋体" w:cs="宋体"/>
          <w:szCs w:val="24"/>
        </w:rPr>
      </w:pPr>
    </w:p>
    <w:p w14:paraId="5C8DCA0E">
      <w:pPr>
        <w:widowControl w:val="0"/>
        <w:ind w:firstLine="0" w:firstLineChars="0"/>
        <w:jc w:val="both"/>
        <w:rPr>
          <w:rFonts w:ascii="宋体" w:hAnsi="宋体" w:eastAsia="宋体" w:cs="宋体"/>
          <w:szCs w:val="24"/>
        </w:rPr>
      </w:pPr>
    </w:p>
    <w:p w14:paraId="59B36291">
      <w:pPr>
        <w:widowControl w:val="0"/>
        <w:ind w:firstLine="0" w:firstLineChars="0"/>
        <w:jc w:val="both"/>
        <w:rPr>
          <w:rFonts w:ascii="宋体" w:hAnsi="宋体" w:eastAsia="宋体" w:cs="宋体"/>
          <w:szCs w:val="24"/>
        </w:rPr>
      </w:pPr>
    </w:p>
    <w:p w14:paraId="4F8EEA92">
      <w:pPr>
        <w:widowControl w:val="0"/>
        <w:ind w:firstLine="0" w:firstLineChars="0"/>
        <w:jc w:val="both"/>
        <w:rPr>
          <w:rFonts w:ascii="宋体" w:hAnsi="宋体" w:eastAsia="宋体" w:cs="宋体"/>
          <w:szCs w:val="24"/>
        </w:rPr>
      </w:pPr>
    </w:p>
    <w:p w14:paraId="751FF1D7">
      <w:pPr>
        <w:widowControl w:val="0"/>
        <w:ind w:firstLine="0" w:firstLineChars="0"/>
        <w:jc w:val="both"/>
        <w:rPr>
          <w:rFonts w:ascii="宋体" w:hAnsi="宋体" w:eastAsia="宋体" w:cs="宋体"/>
          <w:szCs w:val="24"/>
        </w:rPr>
      </w:pPr>
    </w:p>
    <w:p w14:paraId="03C8A540">
      <w:pPr>
        <w:widowControl w:val="0"/>
        <w:ind w:firstLine="0" w:firstLineChars="0"/>
        <w:jc w:val="both"/>
        <w:rPr>
          <w:rFonts w:ascii="宋体" w:hAnsi="宋体" w:eastAsia="宋体" w:cs="宋体"/>
          <w:szCs w:val="24"/>
        </w:rPr>
      </w:pPr>
    </w:p>
    <w:p w14:paraId="4714E329">
      <w:pPr>
        <w:widowControl w:val="0"/>
        <w:ind w:firstLine="0" w:firstLineChars="0"/>
        <w:jc w:val="both"/>
        <w:rPr>
          <w:rFonts w:ascii="宋体" w:hAnsi="宋体" w:eastAsia="宋体" w:cs="宋体"/>
          <w:szCs w:val="24"/>
        </w:rPr>
      </w:pPr>
    </w:p>
    <w:p w14:paraId="4D9292D9">
      <w:pPr>
        <w:widowControl w:val="0"/>
        <w:ind w:firstLine="0" w:firstLineChars="0"/>
        <w:jc w:val="both"/>
        <w:rPr>
          <w:rFonts w:ascii="宋体" w:hAnsi="宋体" w:eastAsia="宋体" w:cs="宋体"/>
          <w:szCs w:val="24"/>
        </w:rPr>
      </w:pPr>
    </w:p>
    <w:p w14:paraId="3F5B1728">
      <w:pPr>
        <w:widowControl w:val="0"/>
        <w:ind w:firstLine="0" w:firstLineChars="0"/>
        <w:jc w:val="center"/>
        <w:rPr>
          <w:rFonts w:ascii="宋体" w:hAnsi="宋体" w:eastAsia="宋体" w:cs="宋体"/>
          <w:szCs w:val="24"/>
        </w:rPr>
      </w:pPr>
      <w:r>
        <w:rPr>
          <w:rFonts w:hint="eastAsia" w:ascii="宋体" w:hAnsi="宋体" w:eastAsia="宋体" w:cs="宋体"/>
          <w:szCs w:val="24"/>
        </w:rPr>
        <w:t>图 1-1 技术路线图</w:t>
      </w:r>
    </w:p>
    <w:p w14:paraId="2DD5D42A">
      <w:pPr>
        <w:widowControl w:val="0"/>
        <w:ind w:firstLine="480"/>
        <w:jc w:val="both"/>
        <w:outlineLvl w:val="2"/>
        <w:rPr>
          <w:rFonts w:ascii="宋体" w:hAnsi="宋体" w:eastAsia="宋体" w:cs="宋体"/>
          <w:szCs w:val="24"/>
        </w:rPr>
      </w:pPr>
      <w:bookmarkStart w:id="10" w:name="_Toc2127"/>
      <w:r>
        <w:rPr>
          <w:rFonts w:hint="eastAsia" w:ascii="宋体" w:hAnsi="宋体" w:eastAsia="宋体" w:cs="宋体"/>
          <w:szCs w:val="24"/>
        </w:rPr>
        <w:t>2.研究方法</w:t>
      </w:r>
      <w:bookmarkEnd w:id="10"/>
    </w:p>
    <w:p w14:paraId="713FB428">
      <w:pPr>
        <w:widowControl w:val="0"/>
        <w:ind w:firstLine="480"/>
        <w:jc w:val="both"/>
        <w:rPr>
          <w:rFonts w:ascii="宋体" w:hAnsi="宋体" w:eastAsia="宋体" w:cs="宋体"/>
          <w:szCs w:val="24"/>
        </w:rPr>
      </w:pPr>
      <w:r>
        <w:rPr>
          <w:rFonts w:hint="eastAsia" w:ascii="宋体" w:hAnsi="宋体" w:eastAsia="宋体" w:cs="宋体"/>
          <w:szCs w:val="24"/>
        </w:rPr>
        <w:t>（1）文献分析法</w:t>
      </w:r>
    </w:p>
    <w:p w14:paraId="0A0EFFF8">
      <w:pPr>
        <w:widowControl w:val="0"/>
        <w:ind w:firstLine="480"/>
        <w:jc w:val="both"/>
        <w:rPr>
          <w:rFonts w:ascii="宋体" w:hAnsi="宋体" w:eastAsia="宋体" w:cs="宋体"/>
          <w:szCs w:val="24"/>
        </w:rPr>
      </w:pPr>
      <w:r>
        <w:rPr>
          <w:rFonts w:hint="eastAsia" w:ascii="宋体" w:hAnsi="宋体" w:eastAsia="宋体" w:cs="宋体"/>
          <w:szCs w:val="24"/>
        </w:rPr>
        <w:t>文献分析法是通过查阅和研究相关文献资料，……</w:t>
      </w:r>
    </w:p>
    <w:p w14:paraId="60485A38">
      <w:pPr>
        <w:widowControl w:val="0"/>
        <w:ind w:firstLine="480"/>
        <w:jc w:val="both"/>
        <w:rPr>
          <w:rFonts w:ascii="宋体" w:hAnsi="宋体" w:eastAsia="宋体" w:cs="宋体"/>
          <w:szCs w:val="24"/>
        </w:rPr>
      </w:pPr>
      <w:r>
        <w:rPr>
          <w:rFonts w:hint="eastAsia" w:ascii="宋体" w:hAnsi="宋体" w:eastAsia="宋体" w:cs="宋体"/>
          <w:szCs w:val="24"/>
        </w:rPr>
        <w:t>（2）问卷调查法</w:t>
      </w:r>
    </w:p>
    <w:p w14:paraId="48412CCC">
      <w:pPr>
        <w:widowControl w:val="0"/>
        <w:ind w:firstLine="480"/>
        <w:jc w:val="both"/>
        <w:rPr>
          <w:rFonts w:ascii="宋体" w:hAnsi="宋体" w:eastAsia="宋体" w:cs="宋体"/>
          <w:szCs w:val="24"/>
        </w:rPr>
      </w:pPr>
      <w:r>
        <w:rPr>
          <w:rFonts w:hint="eastAsia" w:ascii="宋体" w:hAnsi="宋体" w:eastAsia="宋体" w:cs="宋体"/>
          <w:szCs w:val="24"/>
        </w:rPr>
        <w:t>问卷调研主要是通过以书面的形式设计消费者与企业之间……</w:t>
      </w:r>
    </w:p>
    <w:p w14:paraId="798C03C2">
      <w:pPr>
        <w:widowControl w:val="0"/>
        <w:ind w:firstLine="480"/>
        <w:jc w:val="both"/>
        <w:outlineLvl w:val="2"/>
        <w:rPr>
          <w:rFonts w:ascii="宋体" w:hAnsi="宋体" w:eastAsia="宋体" w:cs="宋体"/>
          <w:szCs w:val="24"/>
        </w:rPr>
      </w:pPr>
      <w:bookmarkStart w:id="11" w:name="_Toc2952"/>
      <w:r>
        <w:rPr>
          <w:rFonts w:hint="eastAsia" w:ascii="宋体" w:hAnsi="宋体" w:eastAsia="宋体" w:cs="宋体"/>
          <w:szCs w:val="24"/>
        </w:rPr>
        <w:t>3.研究内容</w:t>
      </w:r>
      <w:bookmarkEnd w:id="11"/>
    </w:p>
    <w:p w14:paraId="3EFEC605">
      <w:pPr>
        <w:widowControl w:val="0"/>
        <w:ind w:firstLine="480"/>
        <w:jc w:val="both"/>
        <w:rPr>
          <w:rFonts w:ascii="宋体" w:hAnsi="宋体" w:eastAsia="宋体" w:cs="宋体"/>
          <w:szCs w:val="24"/>
        </w:rPr>
      </w:pPr>
      <w:r>
        <w:rPr>
          <w:rFonts w:hint="eastAsia" w:ascii="宋体" w:hAnsi="宋体" w:eastAsia="宋体" w:cs="宋体"/>
          <w:szCs w:val="24"/>
        </w:rPr>
        <w:t>本文共分为六个章节，主要内容为：</w:t>
      </w:r>
    </w:p>
    <w:p w14:paraId="3DFF1F12">
      <w:pPr>
        <w:widowControl w:val="0"/>
        <w:ind w:firstLine="480"/>
        <w:jc w:val="both"/>
        <w:rPr>
          <w:rFonts w:ascii="宋体" w:hAnsi="宋体" w:eastAsia="宋体" w:cs="宋体"/>
          <w:szCs w:val="24"/>
        </w:rPr>
      </w:pPr>
      <w:r>
        <w:rPr>
          <w:rFonts w:hint="eastAsia" w:ascii="宋体" w:hAnsi="宋体" w:eastAsia="宋体" w:cs="宋体"/>
          <w:szCs w:val="24"/>
        </w:rPr>
        <w:t>第一章：绪论，该部分主要介绍了本文的研究背景，研究意义，研究思路和 研究方法，梳理了整篇文章的大致思路。</w:t>
      </w:r>
    </w:p>
    <w:p w14:paraId="51C6A736">
      <w:pPr>
        <w:widowControl w:val="0"/>
        <w:ind w:firstLine="480"/>
        <w:jc w:val="both"/>
        <w:rPr>
          <w:rFonts w:ascii="宋体" w:hAnsi="宋体" w:eastAsia="宋体" w:cs="宋体"/>
          <w:szCs w:val="24"/>
        </w:rPr>
      </w:pPr>
      <w:r>
        <w:rPr>
          <w:rFonts w:hint="eastAsia" w:ascii="宋体" w:hAnsi="宋体" w:eastAsia="宋体" w:cs="宋体"/>
          <w:szCs w:val="24"/>
        </w:rPr>
        <w:t>……</w:t>
      </w:r>
    </w:p>
    <w:p w14:paraId="09794D76">
      <w:pPr>
        <w:rPr>
          <w:rFonts w:hint="eastAsia" w:ascii="宋体" w:hAnsi="宋体" w:eastAsia="宋体" w:cs="宋体"/>
          <w:b/>
          <w:bCs/>
          <w:sz w:val="30"/>
          <w:szCs w:val="30"/>
        </w:rPr>
      </w:pPr>
      <w:bookmarkStart w:id="12" w:name="_Toc12226"/>
      <w:r>
        <w:rPr>
          <w:rFonts w:hint="eastAsia" w:ascii="宋体" w:hAnsi="宋体" w:eastAsia="宋体" w:cs="宋体"/>
          <w:b/>
          <w:bCs/>
          <w:sz w:val="30"/>
          <w:szCs w:val="30"/>
        </w:rPr>
        <w:br w:type="page"/>
      </w:r>
    </w:p>
    <w:p w14:paraId="0F1F4353">
      <w:pPr>
        <w:ind w:left="0" w:leftChars="0" w:firstLine="0" w:firstLineChars="0"/>
        <w:jc w:val="center"/>
        <w:rPr>
          <w:rFonts w:ascii="宋体" w:hAnsi="宋体" w:eastAsia="宋体" w:cs="宋体"/>
          <w:b/>
          <w:bCs/>
          <w:sz w:val="30"/>
          <w:szCs w:val="30"/>
        </w:rPr>
      </w:pPr>
      <w:r>
        <w:rPr>
          <w:rFonts w:hint="eastAsia" w:ascii="宋体" w:hAnsi="宋体" w:eastAsia="宋体" w:cs="宋体"/>
          <w:b/>
          <w:bCs/>
          <w:sz w:val="30"/>
          <w:szCs w:val="30"/>
        </w:rPr>
        <w:t>二、相关概念界定和理论基础</w:t>
      </w:r>
      <w:bookmarkEnd w:id="12"/>
    </w:p>
    <w:p w14:paraId="6E88FF2C">
      <w:pPr>
        <w:widowControl w:val="0"/>
        <w:ind w:firstLine="562"/>
        <w:jc w:val="both"/>
        <w:outlineLvl w:val="1"/>
        <w:rPr>
          <w:rFonts w:ascii="宋体" w:hAnsi="宋体" w:eastAsia="宋体" w:cs="宋体"/>
          <w:b/>
          <w:bCs/>
          <w:sz w:val="28"/>
          <w:szCs w:val="28"/>
        </w:rPr>
      </w:pPr>
      <w:bookmarkStart w:id="13" w:name="_Toc25766"/>
      <w:r>
        <w:rPr>
          <w:rFonts w:hint="eastAsia" w:ascii="宋体" w:hAnsi="宋体" w:eastAsia="宋体" w:cs="宋体"/>
          <w:b/>
          <w:bCs/>
          <w:sz w:val="28"/>
          <w:szCs w:val="28"/>
        </w:rPr>
        <w:t>（一）相关概念的界定</w:t>
      </w:r>
      <w:bookmarkEnd w:id="13"/>
    </w:p>
    <w:p w14:paraId="57EDE749">
      <w:pPr>
        <w:widowControl w:val="0"/>
        <w:ind w:firstLine="480"/>
        <w:jc w:val="both"/>
        <w:outlineLvl w:val="2"/>
        <w:rPr>
          <w:rFonts w:ascii="宋体" w:hAnsi="宋体" w:eastAsia="宋体" w:cs="宋体"/>
          <w:szCs w:val="24"/>
        </w:rPr>
      </w:pPr>
      <w:bookmarkStart w:id="14" w:name="_Toc30340"/>
      <w:r>
        <w:rPr>
          <w:rFonts w:hint="eastAsia" w:ascii="宋体" w:hAnsi="宋体" w:eastAsia="宋体" w:cs="宋体"/>
          <w:szCs w:val="24"/>
        </w:rPr>
        <w:t>1.市场营销</w:t>
      </w:r>
      <w:bookmarkEnd w:id="14"/>
      <w:r>
        <w:rPr>
          <w:rFonts w:ascii="宋体" w:hAnsi="宋体"/>
          <w:b/>
          <w:sz w:val="32"/>
          <w:szCs w:val="32"/>
        </w:rPr>
        <mc:AlternateContent>
          <mc:Choice Requires="wps">
            <w:drawing>
              <wp:anchor distT="0" distB="0" distL="114300" distR="114300" simplePos="0" relativeHeight="251664384" behindDoc="0" locked="0" layoutInCell="1" allowOverlap="1">
                <wp:simplePos x="0" y="0"/>
                <wp:positionH relativeFrom="column">
                  <wp:posOffset>2307590</wp:posOffset>
                </wp:positionH>
                <wp:positionV relativeFrom="paragraph">
                  <wp:posOffset>971550</wp:posOffset>
                </wp:positionV>
                <wp:extent cx="3070860" cy="995680"/>
                <wp:effectExtent l="4445" t="1417955" r="18415" b="9525"/>
                <wp:wrapNone/>
                <wp:docPr id="8" name="圆角矩形标注 8"/>
                <wp:cNvGraphicFramePr/>
                <a:graphic xmlns:a="http://schemas.openxmlformats.org/drawingml/2006/main">
                  <a:graphicData uri="http://schemas.microsoft.com/office/word/2010/wordprocessingShape">
                    <wps:wsp>
                      <wps:cNvSpPr>
                        <a:spLocks noChangeArrowheads="1"/>
                      </wps:cNvSpPr>
                      <wps:spPr bwMode="auto">
                        <a:xfrm rot="10800000">
                          <a:off x="0" y="0"/>
                          <a:ext cx="3070860" cy="995680"/>
                        </a:xfrm>
                        <a:prstGeom prst="wedgeRoundRectCallout">
                          <a:avLst>
                            <a:gd name="adj1" fmla="val 23221"/>
                            <a:gd name="adj2" fmla="val 190625"/>
                            <a:gd name="adj3" fmla="val 16667"/>
                          </a:avLst>
                        </a:prstGeom>
                        <a:solidFill>
                          <a:srgbClr val="FFFFFF"/>
                        </a:solidFill>
                        <a:ln w="9525">
                          <a:solidFill>
                            <a:srgbClr val="000000"/>
                          </a:solidFill>
                          <a:miter lim="800000"/>
                        </a:ln>
                        <a:effectLst/>
                      </wps:spPr>
                      <wps:txbx>
                        <w:txbxContent>
                          <w:p w14:paraId="389F479F">
                            <w:pPr>
                              <w:spacing w:line="240" w:lineRule="auto"/>
                              <w:ind w:firstLine="0" w:firstLineChars="0"/>
                              <w:rPr>
                                <w:rFonts w:ascii="黑体" w:hAnsi="黑体" w:eastAsia="黑体" w:cs="宋体"/>
                                <w:color w:val="FF0000"/>
                                <w:szCs w:val="24"/>
                              </w:rPr>
                            </w:pPr>
                            <w:r>
                              <w:rPr>
                                <w:rFonts w:hint="eastAsia" w:ascii="黑体" w:hAnsi="黑体" w:eastAsia="黑体" w:cs="宋体"/>
                                <w:color w:val="FF0000"/>
                                <w:szCs w:val="24"/>
                              </w:rPr>
                              <w:t>论文的</w:t>
                            </w:r>
                            <w:r>
                              <w:rPr>
                                <w:rFonts w:ascii="黑体" w:hAnsi="黑体" w:eastAsia="黑体" w:cs="宋体"/>
                                <w:color w:val="FF0000"/>
                                <w:szCs w:val="24"/>
                              </w:rPr>
                              <w:t>正文，每个章节另起一页。</w:t>
                            </w:r>
                            <w:r>
                              <w:rPr>
                                <w:rFonts w:hint="eastAsia" w:ascii="黑体" w:hAnsi="黑体" w:eastAsia="黑体" w:cs="宋体"/>
                                <w:color w:val="FF0000"/>
                                <w:szCs w:val="24"/>
                              </w:rPr>
                              <w:t>具体</w:t>
                            </w:r>
                            <w:r>
                              <w:rPr>
                                <w:rFonts w:ascii="黑体" w:hAnsi="黑体" w:eastAsia="黑体" w:cs="宋体"/>
                                <w:color w:val="FF0000"/>
                                <w:szCs w:val="24"/>
                              </w:rPr>
                              <w:t>的方法是</w:t>
                            </w:r>
                            <w:r>
                              <w:rPr>
                                <w:rFonts w:hint="eastAsia" w:ascii="黑体" w:hAnsi="黑体" w:eastAsia="黑体" w:cs="宋体"/>
                                <w:color w:val="FF0000"/>
                                <w:szCs w:val="24"/>
                              </w:rPr>
                              <w:t>在word里</w:t>
                            </w:r>
                            <w:r>
                              <w:rPr>
                                <w:rFonts w:ascii="黑体" w:hAnsi="黑体" w:eastAsia="黑体" w:cs="宋体"/>
                                <w:color w:val="FF0000"/>
                                <w:szCs w:val="24"/>
                              </w:rPr>
                              <w:t>插入-分页</w:t>
                            </w:r>
                            <w:r>
                              <w:rPr>
                                <w:rFonts w:hint="eastAsia" w:ascii="黑体" w:hAnsi="黑体" w:eastAsia="黑体" w:cs="宋体"/>
                                <w:color w:val="FF0000"/>
                                <w:szCs w:val="24"/>
                              </w:rPr>
                              <w:t xml:space="preserve"> 即可，</w:t>
                            </w:r>
                            <w:r>
                              <w:rPr>
                                <w:rFonts w:ascii="黑体" w:hAnsi="黑体" w:eastAsia="黑体" w:cs="宋体"/>
                                <w:color w:val="FF0000"/>
                                <w:szCs w:val="24"/>
                              </w:rPr>
                              <w:t>这</w:t>
                            </w:r>
                            <w:r>
                              <w:rPr>
                                <w:rFonts w:hint="eastAsia" w:ascii="黑体" w:hAnsi="黑体" w:eastAsia="黑体" w:cs="宋体"/>
                                <w:color w:val="FF0000"/>
                                <w:szCs w:val="24"/>
                              </w:rPr>
                              <w:t>方法</w:t>
                            </w:r>
                            <w:r>
                              <w:rPr>
                                <w:rFonts w:ascii="黑体" w:hAnsi="黑体" w:eastAsia="黑体" w:cs="宋体"/>
                                <w:color w:val="FF0000"/>
                                <w:szCs w:val="24"/>
                              </w:rPr>
                              <w:t>分页出来的每章</w:t>
                            </w:r>
                            <w:r>
                              <w:rPr>
                                <w:rFonts w:hint="eastAsia" w:ascii="黑体" w:hAnsi="黑体" w:eastAsia="黑体" w:cs="宋体"/>
                                <w:color w:val="FF0000"/>
                                <w:szCs w:val="24"/>
                              </w:rPr>
                              <w:t>节</w:t>
                            </w:r>
                            <w:r>
                              <w:rPr>
                                <w:rFonts w:ascii="黑体" w:hAnsi="黑体" w:eastAsia="黑体" w:cs="宋体"/>
                                <w:color w:val="FF0000"/>
                                <w:szCs w:val="24"/>
                              </w:rPr>
                              <w:t>，前一个章节的论文改动，不会影响下一个章节</w:t>
                            </w:r>
                            <w:r>
                              <w:rPr>
                                <w:rFonts w:hint="eastAsia" w:ascii="黑体" w:hAnsi="黑体" w:eastAsia="黑体" w:cs="宋体"/>
                                <w:color w:val="FF0000"/>
                                <w:szCs w:val="24"/>
                              </w:rPr>
                              <w:t>的</w:t>
                            </w:r>
                            <w:r>
                              <w:rPr>
                                <w:rFonts w:ascii="黑体" w:hAnsi="黑体" w:eastAsia="黑体" w:cs="宋体"/>
                                <w:color w:val="FF0000"/>
                                <w:szCs w:val="24"/>
                              </w:rPr>
                              <w:t>位置。</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1.7pt;margin-top:76.5pt;height:78.4pt;width:241.8pt;rotation:11796480f;z-index:251664384;mso-width-relative:page;mso-height-relative:page;" fillcolor="#FFFFFF" filled="t" stroked="t" coordsize="21600,21600" o:gfxdata="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qRHuZ9gAAAALAQAADwAAAAAAAAABACAAAAAiAAAAZHJzL2Rvd25yZXYueG1sUEsBAhQAFAAA&#10;AAgAh07iQPVCNZKaAgAAKgUAAA4AAAAAAAAAAQAgAAAAJwEAAGRycy9lMm9Eb2MueG1sUEsFBgAA&#10;AAAGAAYAWQEAADMGAAAAAA==&#10;" adj="15816,51975,14400">
                <v:path/>
                <v:fill on="t" focussize="0,0"/>
                <v:stroke joinstyle="miter"/>
                <v:imagedata o:title=""/>
                <o:lock v:ext="edit" aspectratio="f"/>
                <v:textbox>
                  <w:txbxContent>
                    <w:p w14:paraId="389F479F">
                      <w:pPr>
                        <w:spacing w:line="240" w:lineRule="auto"/>
                        <w:ind w:firstLine="0" w:firstLineChars="0"/>
                        <w:rPr>
                          <w:rFonts w:ascii="黑体" w:hAnsi="黑体" w:eastAsia="黑体" w:cs="宋体"/>
                          <w:color w:val="FF0000"/>
                          <w:szCs w:val="24"/>
                        </w:rPr>
                      </w:pPr>
                      <w:r>
                        <w:rPr>
                          <w:rFonts w:hint="eastAsia" w:ascii="黑体" w:hAnsi="黑体" w:eastAsia="黑体" w:cs="宋体"/>
                          <w:color w:val="FF0000"/>
                          <w:szCs w:val="24"/>
                        </w:rPr>
                        <w:t>论文的</w:t>
                      </w:r>
                      <w:r>
                        <w:rPr>
                          <w:rFonts w:ascii="黑体" w:hAnsi="黑体" w:eastAsia="黑体" w:cs="宋体"/>
                          <w:color w:val="FF0000"/>
                          <w:szCs w:val="24"/>
                        </w:rPr>
                        <w:t>正文，每个章节另起一页。</w:t>
                      </w:r>
                      <w:r>
                        <w:rPr>
                          <w:rFonts w:hint="eastAsia" w:ascii="黑体" w:hAnsi="黑体" w:eastAsia="黑体" w:cs="宋体"/>
                          <w:color w:val="FF0000"/>
                          <w:szCs w:val="24"/>
                        </w:rPr>
                        <w:t>具体</w:t>
                      </w:r>
                      <w:r>
                        <w:rPr>
                          <w:rFonts w:ascii="黑体" w:hAnsi="黑体" w:eastAsia="黑体" w:cs="宋体"/>
                          <w:color w:val="FF0000"/>
                          <w:szCs w:val="24"/>
                        </w:rPr>
                        <w:t>的方法是</w:t>
                      </w:r>
                      <w:r>
                        <w:rPr>
                          <w:rFonts w:hint="eastAsia" w:ascii="黑体" w:hAnsi="黑体" w:eastAsia="黑体" w:cs="宋体"/>
                          <w:color w:val="FF0000"/>
                          <w:szCs w:val="24"/>
                        </w:rPr>
                        <w:t>在word里</w:t>
                      </w:r>
                      <w:r>
                        <w:rPr>
                          <w:rFonts w:ascii="黑体" w:hAnsi="黑体" w:eastAsia="黑体" w:cs="宋体"/>
                          <w:color w:val="FF0000"/>
                          <w:szCs w:val="24"/>
                        </w:rPr>
                        <w:t>插入-分页</w:t>
                      </w:r>
                      <w:r>
                        <w:rPr>
                          <w:rFonts w:hint="eastAsia" w:ascii="黑体" w:hAnsi="黑体" w:eastAsia="黑体" w:cs="宋体"/>
                          <w:color w:val="FF0000"/>
                          <w:szCs w:val="24"/>
                        </w:rPr>
                        <w:t xml:space="preserve"> 即可，</w:t>
                      </w:r>
                      <w:r>
                        <w:rPr>
                          <w:rFonts w:ascii="黑体" w:hAnsi="黑体" w:eastAsia="黑体" w:cs="宋体"/>
                          <w:color w:val="FF0000"/>
                          <w:szCs w:val="24"/>
                        </w:rPr>
                        <w:t>这</w:t>
                      </w:r>
                      <w:r>
                        <w:rPr>
                          <w:rFonts w:hint="eastAsia" w:ascii="黑体" w:hAnsi="黑体" w:eastAsia="黑体" w:cs="宋体"/>
                          <w:color w:val="FF0000"/>
                          <w:szCs w:val="24"/>
                        </w:rPr>
                        <w:t>方法</w:t>
                      </w:r>
                      <w:r>
                        <w:rPr>
                          <w:rFonts w:ascii="黑体" w:hAnsi="黑体" w:eastAsia="黑体" w:cs="宋体"/>
                          <w:color w:val="FF0000"/>
                          <w:szCs w:val="24"/>
                        </w:rPr>
                        <w:t>分页出来的每章</w:t>
                      </w:r>
                      <w:r>
                        <w:rPr>
                          <w:rFonts w:hint="eastAsia" w:ascii="黑体" w:hAnsi="黑体" w:eastAsia="黑体" w:cs="宋体"/>
                          <w:color w:val="FF0000"/>
                          <w:szCs w:val="24"/>
                        </w:rPr>
                        <w:t>节</w:t>
                      </w:r>
                      <w:r>
                        <w:rPr>
                          <w:rFonts w:ascii="黑体" w:hAnsi="黑体" w:eastAsia="黑体" w:cs="宋体"/>
                          <w:color w:val="FF0000"/>
                          <w:szCs w:val="24"/>
                        </w:rPr>
                        <w:t>，前一个章节的论文改动，不会影响下一个章节</w:t>
                      </w:r>
                      <w:r>
                        <w:rPr>
                          <w:rFonts w:hint="eastAsia" w:ascii="黑体" w:hAnsi="黑体" w:eastAsia="黑体" w:cs="宋体"/>
                          <w:color w:val="FF0000"/>
                          <w:szCs w:val="24"/>
                        </w:rPr>
                        <w:t>的</w:t>
                      </w:r>
                      <w:r>
                        <w:rPr>
                          <w:rFonts w:ascii="黑体" w:hAnsi="黑体" w:eastAsia="黑体" w:cs="宋体"/>
                          <w:color w:val="FF0000"/>
                          <w:szCs w:val="24"/>
                        </w:rPr>
                        <w:t>位置。</w:t>
                      </w:r>
                    </w:p>
                  </w:txbxContent>
                </v:textbox>
              </v:shape>
            </w:pict>
          </mc:Fallback>
        </mc:AlternateContent>
      </w:r>
    </w:p>
    <w:p w14:paraId="51961531">
      <w:pPr>
        <w:widowControl w:val="0"/>
        <w:ind w:firstLine="480"/>
        <w:jc w:val="both"/>
        <w:rPr>
          <w:rFonts w:ascii="宋体" w:hAnsi="宋体" w:eastAsia="宋体" w:cs="宋体"/>
          <w:szCs w:val="24"/>
        </w:rPr>
      </w:pPr>
      <w:r>
        <w:rPr>
          <w:rFonts w:hint="eastAsia" w:ascii="宋体" w:hAnsi="宋体" w:eastAsia="宋体" w:cs="宋体"/>
          <w:szCs w:val="24"/>
        </w:rPr>
        <w:t>市场营销一词源于 20 世纪初的美国，它是一种经济活动，……</w:t>
      </w:r>
    </w:p>
    <w:p w14:paraId="5ACAF585">
      <w:pPr>
        <w:widowControl w:val="0"/>
        <w:ind w:firstLine="480"/>
        <w:jc w:val="both"/>
        <w:outlineLvl w:val="2"/>
        <w:rPr>
          <w:rFonts w:ascii="宋体" w:hAnsi="宋体" w:eastAsia="宋体" w:cs="宋体"/>
          <w:szCs w:val="24"/>
        </w:rPr>
      </w:pPr>
      <w:bookmarkStart w:id="15" w:name="_Toc21689"/>
      <w:r>
        <w:rPr>
          <w:rFonts w:hint="eastAsia" w:ascii="宋体" w:hAnsi="宋体" w:eastAsia="宋体" w:cs="宋体"/>
          <w:szCs w:val="24"/>
        </w:rPr>
        <w:t>2.餐饮营销</w:t>
      </w:r>
      <w:bookmarkEnd w:id="15"/>
    </w:p>
    <w:p w14:paraId="4AA9073D">
      <w:pPr>
        <w:widowControl w:val="0"/>
        <w:ind w:firstLine="480"/>
        <w:jc w:val="both"/>
        <w:rPr>
          <w:rFonts w:ascii="宋体" w:hAnsi="宋体" w:eastAsia="宋体" w:cs="宋体"/>
          <w:szCs w:val="24"/>
        </w:rPr>
      </w:pPr>
      <w:r>
        <w:rPr>
          <w:rFonts w:hint="eastAsia" w:ascii="宋体" w:hAnsi="宋体" w:eastAsia="宋体" w:cs="宋体"/>
          <w:szCs w:val="24"/>
        </w:rPr>
        <w:t>餐饮营销是指餐饮业的经营者为了吸引和保留顾客，……</w:t>
      </w:r>
    </w:p>
    <w:p w14:paraId="1B057C84">
      <w:pPr>
        <w:widowControl w:val="0"/>
        <w:ind w:firstLine="562"/>
        <w:jc w:val="both"/>
        <w:outlineLvl w:val="1"/>
        <w:rPr>
          <w:rFonts w:ascii="宋体" w:hAnsi="宋体" w:eastAsia="宋体" w:cs="宋体"/>
          <w:b/>
          <w:bCs/>
          <w:sz w:val="28"/>
          <w:szCs w:val="28"/>
        </w:rPr>
      </w:pPr>
      <w:bookmarkStart w:id="16" w:name="_Toc20058"/>
      <w:r>
        <w:rPr>
          <w:rFonts w:hint="eastAsia" w:ascii="宋体" w:hAnsi="宋体" w:eastAsia="宋体" w:cs="宋体"/>
          <w:b/>
          <w:bCs/>
          <w:sz w:val="28"/>
          <w:szCs w:val="28"/>
        </w:rPr>
        <w:t>（二）理论基础</w:t>
      </w:r>
      <w:bookmarkEnd w:id="16"/>
    </w:p>
    <w:p w14:paraId="278AAA39">
      <w:pPr>
        <w:widowControl w:val="0"/>
        <w:ind w:firstLine="480"/>
        <w:jc w:val="both"/>
        <w:outlineLvl w:val="2"/>
        <w:rPr>
          <w:rFonts w:ascii="宋体" w:hAnsi="宋体" w:eastAsia="宋体" w:cs="宋体"/>
          <w:szCs w:val="24"/>
        </w:rPr>
      </w:pPr>
      <w:bookmarkStart w:id="17" w:name="_Toc30120"/>
      <w:r>
        <w:rPr>
          <w:rFonts w:hint="eastAsia" w:ascii="宋体" w:hAnsi="宋体" w:eastAsia="宋体" w:cs="宋体"/>
          <w:szCs w:val="24"/>
        </w:rPr>
        <w:t>1.7P 营销理论</w:t>
      </w:r>
      <w:bookmarkEnd w:id="17"/>
    </w:p>
    <w:p w14:paraId="703085A3">
      <w:pPr>
        <w:widowControl w:val="0"/>
        <w:ind w:firstLine="480"/>
        <w:jc w:val="both"/>
        <w:rPr>
          <w:rFonts w:ascii="宋体" w:hAnsi="宋体" w:eastAsia="宋体" w:cs="宋体"/>
          <w:szCs w:val="24"/>
        </w:rPr>
      </w:pPr>
      <w:r>
        <w:rPr>
          <w:rFonts w:hint="eastAsia" w:ascii="宋体" w:hAnsi="宋体" w:eastAsia="宋体" w:cs="宋体"/>
          <w:szCs w:val="24"/>
        </w:rPr>
        <w:t xml:space="preserve">（1）产品策略。产品是营销要素中最核心的内容，…… </w:t>
      </w:r>
    </w:p>
    <w:p w14:paraId="6341B94A">
      <w:pPr>
        <w:widowControl w:val="0"/>
        <w:ind w:firstLine="480"/>
        <w:jc w:val="both"/>
        <w:rPr>
          <w:rFonts w:ascii="宋体" w:hAnsi="宋体" w:eastAsia="宋体" w:cs="宋体"/>
          <w:szCs w:val="24"/>
        </w:rPr>
      </w:pPr>
      <w:r>
        <w:rPr>
          <w:rFonts w:hint="eastAsia" w:ascii="宋体" w:hAnsi="宋体" w:eastAsia="宋体" w:cs="宋体"/>
          <w:szCs w:val="24"/>
        </w:rPr>
        <w:t>（2）价格策略。价格策略是指消费者为购买产品或服务所支付……</w:t>
      </w:r>
    </w:p>
    <w:p w14:paraId="429535BA">
      <w:pPr>
        <w:widowControl w:val="0"/>
        <w:ind w:firstLine="480"/>
        <w:jc w:val="both"/>
        <w:rPr>
          <w:rFonts w:ascii="宋体" w:hAnsi="宋体" w:eastAsia="宋体" w:cs="宋体"/>
          <w:szCs w:val="24"/>
        </w:rPr>
      </w:pPr>
      <w:r>
        <w:rPr>
          <w:rFonts w:hint="eastAsia" w:ascii="宋体" w:hAnsi="宋体" w:eastAsia="宋体" w:cs="宋体"/>
          <w:szCs w:val="24"/>
        </w:rPr>
        <w:t>……</w:t>
      </w:r>
    </w:p>
    <w:p w14:paraId="56B33E08">
      <w:pPr>
        <w:widowControl w:val="0"/>
        <w:ind w:firstLine="480"/>
        <w:jc w:val="both"/>
        <w:rPr>
          <w:rFonts w:ascii="宋体" w:hAnsi="宋体" w:eastAsia="宋体" w:cs="宋体"/>
          <w:szCs w:val="24"/>
        </w:rPr>
      </w:pPr>
      <w:r>
        <w:rPr>
          <w:rFonts w:hint="eastAsia" w:ascii="宋体" w:hAnsi="宋体" w:eastAsia="宋体" w:cs="宋体"/>
          <w:szCs w:val="24"/>
        </w:rPr>
        <w:t>2.顾客满意度理论</w:t>
      </w:r>
    </w:p>
    <w:p w14:paraId="4FA8669D">
      <w:pPr>
        <w:widowControl w:val="0"/>
        <w:ind w:firstLine="480"/>
        <w:jc w:val="both"/>
        <w:rPr>
          <w:rFonts w:ascii="宋体" w:hAnsi="宋体" w:eastAsia="宋体" w:cs="宋体"/>
          <w:szCs w:val="24"/>
        </w:rPr>
      </w:pPr>
      <w:r>
        <w:rPr>
          <w:rFonts w:hint="eastAsia" w:ascii="宋体" w:hAnsi="宋体" w:eastAsia="宋体" w:cs="宋体"/>
          <w:szCs w:val="24"/>
        </w:rPr>
        <w:t>顾客满意理论是指企业将满足顾客需求作为经营目标，……</w:t>
      </w:r>
    </w:p>
    <w:p w14:paraId="7D7E0A1D">
      <w:pPr>
        <w:widowControl w:val="0"/>
        <w:ind w:firstLine="562"/>
        <w:jc w:val="both"/>
        <w:outlineLvl w:val="1"/>
        <w:rPr>
          <w:rFonts w:ascii="宋体" w:hAnsi="宋体" w:eastAsia="宋体" w:cs="宋体"/>
          <w:szCs w:val="24"/>
        </w:rPr>
      </w:pPr>
      <w:bookmarkStart w:id="18" w:name="_Toc4187"/>
      <w:r>
        <w:rPr>
          <w:rFonts w:hint="eastAsia" w:ascii="宋体" w:hAnsi="宋体" w:eastAsia="宋体" w:cs="宋体"/>
          <w:b/>
          <w:bCs/>
          <w:sz w:val="28"/>
          <w:szCs w:val="28"/>
        </w:rPr>
        <w:t>（三）分析工具</w:t>
      </w:r>
      <w:bookmarkEnd w:id="18"/>
    </w:p>
    <w:p w14:paraId="3F25C516">
      <w:pPr>
        <w:widowControl w:val="0"/>
        <w:ind w:firstLine="480"/>
        <w:jc w:val="both"/>
        <w:rPr>
          <w:rFonts w:ascii="宋体" w:hAnsi="宋体" w:eastAsia="宋体" w:cs="宋体"/>
          <w:szCs w:val="24"/>
        </w:rPr>
      </w:pPr>
      <w:r>
        <w:rPr>
          <w:rFonts w:hint="eastAsia" w:ascii="宋体" w:hAnsi="宋体" w:eastAsia="宋体" w:cs="宋体"/>
          <w:szCs w:val="24"/>
        </w:rPr>
        <w:t>SWOT 分析是一种战略分析工具，……</w:t>
      </w:r>
    </w:p>
    <w:p w14:paraId="18CC50F9">
      <w:pPr>
        <w:widowControl w:val="0"/>
        <w:ind w:firstLine="480"/>
        <w:jc w:val="both"/>
        <w:rPr>
          <w:rFonts w:ascii="宋体" w:hAnsi="宋体" w:eastAsia="宋体" w:cs="宋体"/>
          <w:szCs w:val="24"/>
        </w:rPr>
      </w:pPr>
      <w:r>
        <w:rPr>
          <w:rFonts w:hint="eastAsia" w:ascii="宋体" w:hAnsi="宋体" w:eastAsia="宋体" w:cs="宋体"/>
          <w:szCs w:val="24"/>
        </w:rPr>
        <w:t>优势和劣势分析主要着眼于企业自身的实力及其与竞争对手的比较，……</w:t>
      </w:r>
    </w:p>
    <w:p w14:paraId="51394574">
      <w:pPr>
        <w:widowControl w:val="0"/>
        <w:ind w:firstLine="480"/>
        <w:jc w:val="both"/>
        <w:rPr>
          <w:rFonts w:ascii="宋体" w:hAnsi="宋体" w:eastAsia="宋体" w:cs="宋体"/>
          <w:szCs w:val="24"/>
        </w:rPr>
      </w:pPr>
      <w:r>
        <w:rPr>
          <w:rFonts w:hint="eastAsia" w:ascii="宋体" w:hAnsi="宋体" w:eastAsia="宋体" w:cs="宋体"/>
          <w:szCs w:val="24"/>
        </w:rPr>
        <w:t>收集信息，对企业内部和外部环境进行全面的信息收集，……</w:t>
      </w:r>
    </w:p>
    <w:p w14:paraId="4C22E249">
      <w:pPr>
        <w:widowControl w:val="0"/>
        <w:ind w:firstLine="480"/>
        <w:jc w:val="both"/>
        <w:rPr>
          <w:rFonts w:ascii="宋体" w:hAnsi="宋体" w:eastAsia="宋体" w:cs="宋体"/>
          <w:szCs w:val="24"/>
        </w:rPr>
      </w:pPr>
      <w:r>
        <w:rPr>
          <w:rFonts w:hint="eastAsia" w:ascii="宋体" w:hAnsi="宋体" w:eastAsia="宋体" w:cs="宋体"/>
          <w:szCs w:val="24"/>
        </w:rPr>
        <w:t>确定优势和劣势，根据收集的信息，分析企业的优势和劣势。……</w:t>
      </w:r>
    </w:p>
    <w:p w14:paraId="7A1E137B">
      <w:pPr>
        <w:widowControl w:val="0"/>
        <w:ind w:firstLine="480"/>
        <w:jc w:val="both"/>
        <w:rPr>
          <w:rFonts w:ascii="宋体" w:hAnsi="宋体" w:eastAsia="宋体" w:cs="宋体"/>
          <w:szCs w:val="24"/>
        </w:rPr>
      </w:pPr>
      <w:r>
        <w:rPr>
          <w:rFonts w:hint="eastAsia" w:ascii="宋体" w:hAnsi="宋体" w:eastAsia="宋体" w:cs="宋体"/>
          <w:szCs w:val="24"/>
        </w:rPr>
        <w:t>识别机会和威胁，机会是指外部环境对企业有利的因素，……</w:t>
      </w:r>
    </w:p>
    <w:p w14:paraId="40A7DBB6">
      <w:pPr>
        <w:widowControl w:val="0"/>
        <w:ind w:firstLine="480"/>
        <w:jc w:val="both"/>
        <w:rPr>
          <w:rFonts w:ascii="宋体" w:hAnsi="宋体" w:eastAsia="宋体" w:cs="宋体"/>
          <w:szCs w:val="24"/>
        </w:rPr>
      </w:pPr>
      <w:r>
        <w:rPr>
          <w:rFonts w:hint="eastAsia" w:ascii="宋体" w:hAnsi="宋体" w:eastAsia="宋体" w:cs="宋体"/>
          <w:szCs w:val="24"/>
        </w:rPr>
        <w:t>制定战略，根据以上分析，制定企业的发展战略，……</w:t>
      </w:r>
    </w:p>
    <w:p w14:paraId="4AE9560A">
      <w:pPr>
        <w:widowControl w:val="0"/>
        <w:ind w:firstLine="480"/>
        <w:jc w:val="both"/>
        <w:rPr>
          <w:rFonts w:ascii="宋体" w:hAnsi="宋体" w:eastAsia="宋体" w:cs="宋体"/>
          <w:szCs w:val="24"/>
        </w:rPr>
      </w:pPr>
      <w:r>
        <w:rPr>
          <w:rFonts w:hint="eastAsia" w:ascii="宋体" w:hAnsi="宋体" w:eastAsia="宋体" w:cs="宋体"/>
          <w:szCs w:val="24"/>
        </w:rPr>
        <w:t>实施战略是指将一个组织或个人预先制定好的发展战略……</w:t>
      </w:r>
    </w:p>
    <w:p w14:paraId="438A0EE7">
      <w:pPr>
        <w:rPr>
          <w:rFonts w:hint="eastAsia" w:ascii="宋体" w:hAnsi="宋体" w:eastAsia="宋体" w:cs="宋体"/>
          <w:b/>
          <w:bCs/>
          <w:sz w:val="30"/>
          <w:szCs w:val="30"/>
        </w:rPr>
      </w:pPr>
      <w:bookmarkStart w:id="19" w:name="_Toc26335"/>
      <w:r>
        <w:rPr>
          <w:rFonts w:hint="eastAsia" w:ascii="宋体" w:hAnsi="宋体" w:eastAsia="宋体" w:cs="宋体"/>
          <w:b/>
          <w:bCs/>
          <w:sz w:val="30"/>
          <w:szCs w:val="30"/>
        </w:rPr>
        <w:br w:type="page"/>
      </w:r>
    </w:p>
    <w:p w14:paraId="6817B4FB">
      <w:pPr>
        <w:widowControl w:val="0"/>
        <w:ind w:firstLine="0" w:firstLineChars="0"/>
        <w:jc w:val="center"/>
        <w:outlineLvl w:val="0"/>
        <w:rPr>
          <w:rFonts w:ascii="宋体" w:hAnsi="宋体" w:eastAsia="宋体" w:cs="宋体"/>
          <w:b/>
          <w:bCs/>
          <w:sz w:val="30"/>
          <w:szCs w:val="30"/>
        </w:rPr>
      </w:pPr>
      <w:r>
        <w:rPr>
          <w:rFonts w:hint="eastAsia" w:ascii="宋体" w:hAnsi="宋体" w:eastAsia="宋体" w:cs="宋体"/>
          <w:b/>
          <w:bCs/>
          <w:sz w:val="30"/>
          <w:szCs w:val="30"/>
        </w:rPr>
        <w:t>三、H餐饮公司服务营销现状及环境分析</w:t>
      </w:r>
      <w:bookmarkEnd w:id="19"/>
    </w:p>
    <w:p w14:paraId="26123105">
      <w:pPr>
        <w:widowControl w:val="0"/>
        <w:ind w:firstLine="562"/>
        <w:jc w:val="both"/>
        <w:outlineLvl w:val="1"/>
        <w:rPr>
          <w:rFonts w:ascii="宋体" w:hAnsi="宋体" w:eastAsia="宋体" w:cs="宋体"/>
          <w:b/>
          <w:bCs/>
          <w:sz w:val="28"/>
          <w:szCs w:val="28"/>
        </w:rPr>
      </w:pPr>
      <w:bookmarkStart w:id="20" w:name="_Toc9770"/>
      <w:r>
        <w:rPr>
          <w:rFonts w:hint="eastAsia" w:ascii="宋体" w:hAnsi="宋体" w:eastAsia="宋体" w:cs="宋体"/>
          <w:b/>
          <w:bCs/>
          <w:sz w:val="28"/>
          <w:szCs w:val="28"/>
        </w:rPr>
        <w:t>（一）H餐饮公司简介</w:t>
      </w:r>
      <w:bookmarkEnd w:id="20"/>
    </w:p>
    <w:p w14:paraId="67CA330F">
      <w:pPr>
        <w:widowControl w:val="0"/>
        <w:ind w:firstLine="480"/>
        <w:jc w:val="both"/>
        <w:rPr>
          <w:rFonts w:ascii="宋体" w:hAnsi="宋体" w:eastAsia="宋体" w:cs="宋体"/>
          <w:szCs w:val="24"/>
        </w:rPr>
      </w:pPr>
      <w:r>
        <w:rPr>
          <w:rFonts w:hint="eastAsia" w:ascii="宋体" w:hAnsi="宋体" w:eastAsia="宋体" w:cs="宋体"/>
          <w:szCs w:val="24"/>
        </w:rPr>
        <w:t>H餐饮管理公司位于郑州，郑州作为河南省的省会，其饮食文化具。……</w:t>
      </w:r>
    </w:p>
    <w:p w14:paraId="1B3CCEAF">
      <w:pPr>
        <w:widowControl w:val="0"/>
        <w:ind w:firstLine="562"/>
        <w:jc w:val="both"/>
        <w:outlineLvl w:val="1"/>
        <w:rPr>
          <w:rFonts w:ascii="宋体" w:hAnsi="宋体" w:eastAsia="宋体" w:cs="宋体"/>
          <w:b/>
          <w:bCs/>
          <w:sz w:val="28"/>
          <w:szCs w:val="28"/>
        </w:rPr>
      </w:pPr>
      <w:bookmarkStart w:id="21" w:name="_Toc15287"/>
      <w:r>
        <w:rPr>
          <w:rFonts w:hint="eastAsia" w:ascii="宋体" w:hAnsi="宋体" w:eastAsia="宋体" w:cs="宋体"/>
          <w:b/>
          <w:bCs/>
          <w:sz w:val="28"/>
          <w:szCs w:val="28"/>
        </w:rPr>
        <w:t>（二）H餐饮公司服务营销现状</w:t>
      </w:r>
      <w:bookmarkEnd w:id="21"/>
    </w:p>
    <w:p w14:paraId="528C36DC">
      <w:pPr>
        <w:widowControl w:val="0"/>
        <w:ind w:firstLine="480"/>
        <w:jc w:val="both"/>
        <w:rPr>
          <w:rFonts w:ascii="宋体" w:hAnsi="宋体" w:eastAsia="宋体" w:cs="宋体"/>
          <w:szCs w:val="24"/>
        </w:rPr>
      </w:pPr>
      <w:r>
        <w:rPr>
          <w:rFonts w:hint="eastAsia" w:ascii="宋体" w:hAnsi="宋体" w:eastAsia="宋体" w:cs="宋体"/>
          <w:szCs w:val="24"/>
        </w:rPr>
        <w:t xml:space="preserve">H餐饮管理公司目前是以加盟为主，烤鱼技术可追溯到周王朝早期，…… </w:t>
      </w:r>
    </w:p>
    <w:p w14:paraId="4AAB26BE">
      <w:pPr>
        <w:widowControl w:val="0"/>
        <w:ind w:firstLine="480"/>
        <w:jc w:val="both"/>
        <w:outlineLvl w:val="2"/>
        <w:rPr>
          <w:rFonts w:ascii="宋体" w:hAnsi="宋体" w:eastAsia="宋体" w:cs="宋体"/>
          <w:szCs w:val="24"/>
        </w:rPr>
      </w:pPr>
      <w:bookmarkStart w:id="22" w:name="_Toc27894"/>
      <w:r>
        <w:rPr>
          <w:rFonts w:hint="eastAsia" w:ascii="宋体" w:hAnsi="宋体" w:eastAsia="宋体" w:cs="宋体"/>
          <w:szCs w:val="24"/>
        </w:rPr>
        <w:t>1.产品现状</w:t>
      </w:r>
      <w:bookmarkEnd w:id="22"/>
    </w:p>
    <w:p w14:paraId="0FFDAD1F">
      <w:pPr>
        <w:widowControl w:val="0"/>
        <w:ind w:firstLine="480"/>
        <w:jc w:val="both"/>
        <w:rPr>
          <w:rFonts w:ascii="宋体" w:hAnsi="宋体" w:eastAsia="宋体" w:cs="宋体"/>
          <w:szCs w:val="24"/>
        </w:rPr>
      </w:pPr>
      <w:r>
        <w:rPr>
          <w:rFonts w:hint="eastAsia" w:ascii="宋体" w:hAnsi="宋体" w:eastAsia="宋体" w:cs="宋体"/>
          <w:szCs w:val="24"/>
        </w:rPr>
        <w:t>H餐饮管理公司是一家在烤鱼领域专注于追求卓越的企业，……</w:t>
      </w:r>
    </w:p>
    <w:p w14:paraId="7D18A0B4">
      <w:pPr>
        <w:widowControl w:val="0"/>
        <w:ind w:firstLine="480"/>
        <w:jc w:val="both"/>
        <w:outlineLvl w:val="2"/>
        <w:rPr>
          <w:rFonts w:ascii="宋体" w:hAnsi="宋体" w:eastAsia="宋体" w:cs="宋体"/>
          <w:szCs w:val="24"/>
        </w:rPr>
      </w:pPr>
      <w:bookmarkStart w:id="23" w:name="_Toc32497"/>
      <w:r>
        <w:rPr>
          <w:rFonts w:hint="eastAsia" w:ascii="宋体" w:hAnsi="宋体" w:eastAsia="宋体" w:cs="宋体"/>
          <w:szCs w:val="24"/>
        </w:rPr>
        <w:t>2.价格现状</w:t>
      </w:r>
      <w:bookmarkEnd w:id="23"/>
    </w:p>
    <w:p w14:paraId="14D8C812">
      <w:pPr>
        <w:widowControl w:val="0"/>
        <w:ind w:firstLine="480"/>
        <w:jc w:val="both"/>
        <w:rPr>
          <w:rFonts w:ascii="宋体" w:hAnsi="宋体" w:eastAsia="宋体" w:cs="宋体"/>
          <w:szCs w:val="24"/>
        </w:rPr>
      </w:pPr>
      <w:r>
        <w:rPr>
          <w:rFonts w:hint="eastAsia" w:ascii="宋体" w:hAnsi="宋体" w:eastAsia="宋体" w:cs="宋体"/>
          <w:szCs w:val="24"/>
        </w:rPr>
        <w:t>H餐饮管理公司是一家在烤鱼类餐厅中定价属于中等水平的餐饮企业，……</w:t>
      </w:r>
    </w:p>
    <w:p w14:paraId="10922636">
      <w:pPr>
        <w:widowControl w:val="0"/>
        <w:ind w:firstLine="480"/>
        <w:jc w:val="both"/>
        <w:rPr>
          <w:rFonts w:ascii="宋体" w:hAnsi="宋体" w:eastAsia="宋体" w:cs="宋体"/>
          <w:szCs w:val="24"/>
        </w:rPr>
      </w:pPr>
      <w:r>
        <w:rPr>
          <w:rFonts w:hint="eastAsia" w:ascii="宋体" w:hAnsi="宋体" w:eastAsia="宋体" w:cs="宋体"/>
          <w:szCs w:val="24"/>
        </w:rPr>
        <w:t>……</w:t>
      </w:r>
    </w:p>
    <w:p w14:paraId="46A0DF7C">
      <w:pPr>
        <w:widowControl w:val="0"/>
        <w:ind w:firstLine="562"/>
        <w:jc w:val="both"/>
        <w:outlineLvl w:val="1"/>
        <w:rPr>
          <w:rFonts w:ascii="宋体" w:hAnsi="宋体" w:eastAsia="宋体" w:cs="宋体"/>
          <w:b/>
          <w:bCs/>
          <w:sz w:val="28"/>
          <w:szCs w:val="28"/>
        </w:rPr>
      </w:pPr>
      <w:bookmarkStart w:id="24" w:name="_Toc28241"/>
      <w:r>
        <w:rPr>
          <w:rFonts w:hint="eastAsia" w:ascii="宋体" w:hAnsi="宋体" w:eastAsia="宋体" w:cs="宋体"/>
          <w:b/>
          <w:bCs/>
          <w:sz w:val="28"/>
          <w:szCs w:val="28"/>
        </w:rPr>
        <w:t>（三）H餐饮公司之 SWOT 分析</w:t>
      </w:r>
      <w:bookmarkEnd w:id="24"/>
    </w:p>
    <w:p w14:paraId="34D929F5">
      <w:pPr>
        <w:widowControl w:val="0"/>
        <w:ind w:firstLine="480"/>
        <w:jc w:val="both"/>
        <w:outlineLvl w:val="2"/>
        <w:rPr>
          <w:rFonts w:ascii="宋体" w:hAnsi="宋体" w:eastAsia="宋体" w:cs="宋体"/>
          <w:szCs w:val="24"/>
        </w:rPr>
      </w:pPr>
      <w:bookmarkStart w:id="25" w:name="_Toc9666"/>
      <w:r>
        <w:rPr>
          <w:rFonts w:hint="eastAsia" w:ascii="宋体" w:hAnsi="宋体" w:eastAsia="宋体" w:cs="宋体"/>
          <w:szCs w:val="24"/>
        </w:rPr>
        <w:t>1.优势与劣势</w:t>
      </w:r>
      <w:bookmarkEnd w:id="25"/>
    </w:p>
    <w:p w14:paraId="59EE7171">
      <w:pPr>
        <w:widowControl w:val="0"/>
        <w:ind w:firstLine="480"/>
        <w:jc w:val="both"/>
        <w:rPr>
          <w:rFonts w:ascii="宋体" w:hAnsi="宋体" w:eastAsia="宋体" w:cs="宋体"/>
          <w:szCs w:val="24"/>
        </w:rPr>
      </w:pPr>
      <w:r>
        <w:rPr>
          <w:rFonts w:hint="eastAsia" w:ascii="宋体" w:hAnsi="宋体" w:eastAsia="宋体" w:cs="宋体"/>
          <w:szCs w:val="24"/>
        </w:rPr>
        <w:t>优势：公司提供多种类型菜品，……。劣势：烤鱼餐厅在当今的市……</w:t>
      </w:r>
    </w:p>
    <w:p w14:paraId="4B10F8DD">
      <w:pPr>
        <w:widowControl w:val="0"/>
        <w:ind w:firstLine="480"/>
        <w:jc w:val="both"/>
        <w:outlineLvl w:val="2"/>
        <w:rPr>
          <w:rFonts w:ascii="宋体" w:hAnsi="宋体" w:eastAsia="宋体" w:cs="宋体"/>
          <w:szCs w:val="24"/>
        </w:rPr>
      </w:pPr>
      <w:bookmarkStart w:id="26" w:name="_Toc31497"/>
      <w:r>
        <w:rPr>
          <w:rFonts w:hint="eastAsia" w:ascii="宋体" w:hAnsi="宋体" w:eastAsia="宋体" w:cs="宋体"/>
          <w:szCs w:val="24"/>
        </w:rPr>
        <w:t>2.机会</w:t>
      </w:r>
      <w:bookmarkEnd w:id="26"/>
    </w:p>
    <w:p w14:paraId="38AA40C7">
      <w:pPr>
        <w:widowControl w:val="0"/>
        <w:ind w:firstLine="480"/>
        <w:jc w:val="both"/>
        <w:rPr>
          <w:rFonts w:ascii="宋体" w:hAnsi="宋体" w:eastAsia="宋体" w:cs="宋体"/>
          <w:szCs w:val="24"/>
        </w:rPr>
      </w:pPr>
      <w:r>
        <w:rPr>
          <w:rFonts w:hint="eastAsia" w:ascii="宋体" w:hAnsi="宋体" w:eastAsia="宋体" w:cs="宋体"/>
          <w:szCs w:val="24"/>
        </w:rPr>
        <w:t>随着我国经济的快速发展，餐饮市场仍有很大的拓展空间，……</w:t>
      </w:r>
    </w:p>
    <w:p w14:paraId="2B53781F">
      <w:pPr>
        <w:rPr>
          <w:rFonts w:hint="eastAsia" w:ascii="宋体" w:hAnsi="宋体" w:eastAsia="宋体" w:cs="宋体"/>
          <w:b/>
          <w:bCs/>
          <w:sz w:val="30"/>
          <w:szCs w:val="30"/>
        </w:rPr>
      </w:pPr>
      <w:bookmarkStart w:id="27" w:name="_Toc5668"/>
      <w:r>
        <w:rPr>
          <w:rFonts w:hint="eastAsia" w:ascii="宋体" w:hAnsi="宋体" w:eastAsia="宋体" w:cs="宋体"/>
          <w:b/>
          <w:bCs/>
          <w:sz w:val="30"/>
          <w:szCs w:val="30"/>
        </w:rPr>
        <w:br w:type="page"/>
      </w:r>
    </w:p>
    <w:p w14:paraId="1AC9BB6F">
      <w:pPr>
        <w:widowControl w:val="0"/>
        <w:ind w:firstLine="0" w:firstLineChars="0"/>
        <w:jc w:val="center"/>
        <w:outlineLvl w:val="0"/>
        <w:rPr>
          <w:rFonts w:ascii="宋体" w:hAnsi="宋体" w:eastAsia="宋体" w:cs="宋体"/>
          <w:b/>
          <w:bCs/>
          <w:sz w:val="30"/>
          <w:szCs w:val="30"/>
        </w:rPr>
      </w:pPr>
      <w:r>
        <w:rPr>
          <w:rFonts w:hint="eastAsia" w:ascii="宋体" w:hAnsi="宋体" w:eastAsia="宋体" w:cs="宋体"/>
          <w:b/>
          <w:bCs/>
          <w:sz w:val="30"/>
          <w:szCs w:val="30"/>
        </w:rPr>
        <w:t>四、H餐饮公司服务营销存在的问题</w:t>
      </w:r>
      <w:bookmarkEnd w:id="27"/>
    </w:p>
    <w:p w14:paraId="7EB5F69E">
      <w:pPr>
        <w:widowControl w:val="0"/>
        <w:ind w:firstLine="562"/>
        <w:jc w:val="both"/>
        <w:outlineLvl w:val="1"/>
        <w:rPr>
          <w:rFonts w:ascii="宋体" w:hAnsi="宋体" w:eastAsia="宋体" w:cs="宋体"/>
          <w:b/>
          <w:bCs/>
          <w:sz w:val="28"/>
          <w:szCs w:val="28"/>
        </w:rPr>
      </w:pPr>
      <w:bookmarkStart w:id="28" w:name="_Toc6536"/>
      <w:r>
        <w:rPr>
          <w:rFonts w:hint="eastAsia" w:ascii="宋体" w:hAnsi="宋体" w:eastAsia="宋体" w:cs="宋体"/>
          <w:b/>
          <w:bCs/>
          <w:sz w:val="28"/>
          <w:szCs w:val="28"/>
        </w:rPr>
        <w:t>（一）问卷调查</w:t>
      </w:r>
      <w:bookmarkEnd w:id="28"/>
    </w:p>
    <w:p w14:paraId="598B4E35">
      <w:pPr>
        <w:widowControl w:val="0"/>
        <w:ind w:firstLine="480"/>
        <w:jc w:val="both"/>
        <w:outlineLvl w:val="2"/>
        <w:rPr>
          <w:rFonts w:ascii="宋体" w:hAnsi="宋体" w:eastAsia="宋体" w:cs="宋体"/>
          <w:szCs w:val="24"/>
        </w:rPr>
      </w:pPr>
      <w:bookmarkStart w:id="29" w:name="_Toc24356"/>
      <w:r>
        <w:rPr>
          <w:rFonts w:hint="eastAsia" w:ascii="宋体" w:hAnsi="宋体" w:eastAsia="宋体" w:cs="宋体"/>
          <w:szCs w:val="24"/>
        </w:rPr>
        <w:t>1.问卷设计</w:t>
      </w:r>
      <w:bookmarkEnd w:id="29"/>
    </w:p>
    <w:p w14:paraId="042A799F">
      <w:pPr>
        <w:widowControl w:val="0"/>
        <w:ind w:firstLine="480"/>
        <w:jc w:val="both"/>
        <w:outlineLvl w:val="2"/>
        <w:rPr>
          <w:rFonts w:ascii="宋体" w:hAnsi="宋体" w:eastAsia="宋体" w:cs="宋体"/>
          <w:szCs w:val="24"/>
        </w:rPr>
      </w:pPr>
      <w:bookmarkStart w:id="30" w:name="_Toc18149"/>
      <w:r>
        <w:rPr>
          <w:rFonts w:hint="eastAsia" w:ascii="宋体" w:hAnsi="宋体" w:eastAsia="宋体" w:cs="宋体"/>
          <w:szCs w:val="24"/>
        </w:rPr>
        <w:t>本文基于 7P 营销理论设置了若干问题，目的是对 H餐饮管理公司消费者的 情况进行市场调研，被调查者可根据自己的情况选择一个或多个答案，还有一部 分是开放式问题，被调查者可自由回答。</w:t>
      </w:r>
    </w:p>
    <w:p w14:paraId="3A4936C9">
      <w:pPr>
        <w:widowControl w:val="0"/>
        <w:ind w:firstLine="480"/>
        <w:jc w:val="both"/>
        <w:outlineLvl w:val="2"/>
        <w:rPr>
          <w:rFonts w:ascii="宋体" w:hAnsi="宋体" w:eastAsia="宋体" w:cs="宋体"/>
          <w:szCs w:val="24"/>
        </w:rPr>
      </w:pPr>
      <w:r>
        <w:rPr>
          <w:rFonts w:hint="eastAsia" w:ascii="宋体" w:hAnsi="宋体" w:eastAsia="宋体" w:cs="宋体"/>
          <w:szCs w:val="24"/>
        </w:rPr>
        <w:t>……</w:t>
      </w:r>
    </w:p>
    <w:p w14:paraId="1D516545">
      <w:pPr>
        <w:widowControl w:val="0"/>
        <w:ind w:firstLine="480"/>
        <w:jc w:val="both"/>
        <w:outlineLvl w:val="2"/>
        <w:rPr>
          <w:rFonts w:ascii="宋体" w:hAnsi="宋体" w:eastAsia="宋体" w:cs="宋体"/>
          <w:szCs w:val="24"/>
        </w:rPr>
      </w:pPr>
      <w:r>
        <w:rPr>
          <w:rFonts w:hint="eastAsia" w:ascii="宋体" w:hAnsi="宋体" w:eastAsia="宋体" w:cs="宋体"/>
          <w:szCs w:val="24"/>
        </w:rPr>
        <w:t>2.问卷发放、回收及整理</w:t>
      </w:r>
      <w:bookmarkEnd w:id="30"/>
    </w:p>
    <w:p w14:paraId="1C6CDB68">
      <w:pPr>
        <w:widowControl w:val="0"/>
        <w:ind w:firstLine="480"/>
        <w:jc w:val="both"/>
        <w:outlineLvl w:val="2"/>
        <w:rPr>
          <w:rFonts w:ascii="宋体" w:hAnsi="宋体" w:eastAsia="宋体" w:cs="宋体"/>
          <w:szCs w:val="24"/>
        </w:rPr>
      </w:pPr>
      <w:bookmarkStart w:id="31" w:name="_Toc11796"/>
      <w:r>
        <w:rPr>
          <w:rFonts w:hint="eastAsia" w:ascii="宋体" w:hAnsi="宋体" w:eastAsia="宋体" w:cs="宋体"/>
          <w:szCs w:val="24"/>
        </w:rPr>
        <w:t>本次问卷的被调查者来自不同的年龄段，不同的行业，不同的身份，他们都 曾在 H餐饮管理公司就餐过。</w:t>
      </w:r>
    </w:p>
    <w:p w14:paraId="198E63B4">
      <w:pPr>
        <w:widowControl w:val="0"/>
        <w:ind w:firstLine="480"/>
        <w:jc w:val="both"/>
        <w:outlineLvl w:val="2"/>
        <w:rPr>
          <w:rFonts w:ascii="宋体" w:hAnsi="宋体" w:eastAsia="宋体" w:cs="宋体"/>
          <w:szCs w:val="24"/>
        </w:rPr>
      </w:pPr>
      <w:r>
        <w:rPr>
          <w:rFonts w:hint="eastAsia" w:ascii="宋体" w:hAnsi="宋体" w:eastAsia="宋体" w:cs="宋体"/>
          <w:szCs w:val="24"/>
        </w:rPr>
        <w:t>此次问卷共发放300份，最后收回了292份完整的问卷，剔除8份无效问卷，有效问卷共有 292 份。经过本次问卷调查，了解到 H餐饮管理公司在营销方面存在的一些问题，也让营销策略的优化有了方向。</w:t>
      </w:r>
    </w:p>
    <w:p w14:paraId="45B6A0D8">
      <w:pPr>
        <w:widowControl w:val="0"/>
        <w:ind w:firstLine="480"/>
        <w:jc w:val="both"/>
        <w:outlineLvl w:val="2"/>
        <w:rPr>
          <w:rFonts w:ascii="宋体" w:hAnsi="宋体" w:eastAsia="宋体" w:cs="宋体"/>
          <w:szCs w:val="24"/>
        </w:rPr>
      </w:pPr>
      <w:r>
        <w:rPr>
          <w:rFonts w:hint="eastAsia" w:ascii="宋体" w:hAnsi="宋体" w:eastAsia="宋体" w:cs="宋体"/>
          <w:szCs w:val="24"/>
        </w:rPr>
        <w:t>3.调查问卷统计及分析</w:t>
      </w:r>
      <w:bookmarkEnd w:id="31"/>
    </w:p>
    <w:p w14:paraId="226BEF29">
      <w:pPr>
        <w:widowControl w:val="0"/>
        <w:ind w:firstLine="480"/>
        <w:jc w:val="both"/>
        <w:outlineLvl w:val="1"/>
        <w:rPr>
          <w:rFonts w:ascii="宋体" w:hAnsi="宋体" w:eastAsia="宋体" w:cs="宋体"/>
          <w:szCs w:val="24"/>
        </w:rPr>
      </w:pPr>
      <w:bookmarkStart w:id="32" w:name="_Toc1182"/>
      <w:r>
        <w:rPr>
          <w:rFonts w:hint="eastAsia" w:ascii="宋体" w:hAnsi="宋体" w:eastAsia="宋体" w:cs="宋体"/>
          <w:szCs w:val="24"/>
        </w:rPr>
        <w:t>本次调查对象的统计变量分析主要是以问卷中背景资料调查为基础，按照性 别、年龄、职业三个变量区分，样本分别情况如下表 4-1 调查对象背景统计变量分析所示。</w:t>
      </w:r>
    </w:p>
    <w:p w14:paraId="6433AA86">
      <w:pPr>
        <w:widowControl w:val="0"/>
        <w:ind w:firstLine="480"/>
        <w:jc w:val="both"/>
        <w:outlineLvl w:val="1"/>
        <w:rPr>
          <w:rFonts w:ascii="宋体" w:hAnsi="宋体" w:eastAsia="宋体" w:cs="宋体"/>
          <w:szCs w:val="24"/>
        </w:rPr>
      </w:pPr>
      <w:r>
        <w:rPr>
          <w:rFonts w:hint="eastAsia" w:ascii="宋体" w:hAnsi="宋体" w:eastAsia="宋体" w:cs="宋体"/>
          <w:szCs w:val="24"/>
        </w:rPr>
        <w:t>……</w:t>
      </w:r>
    </w:p>
    <w:p w14:paraId="48ED13D4">
      <w:pPr>
        <w:widowControl w:val="0"/>
        <w:ind w:firstLine="562"/>
        <w:jc w:val="both"/>
        <w:outlineLvl w:val="1"/>
        <w:rPr>
          <w:rFonts w:ascii="宋体" w:hAnsi="宋体" w:eastAsia="宋体" w:cs="宋体"/>
          <w:b/>
          <w:bCs/>
          <w:sz w:val="28"/>
          <w:szCs w:val="28"/>
        </w:rPr>
      </w:pPr>
      <w:r>
        <w:rPr>
          <w:rFonts w:hint="eastAsia" w:ascii="宋体" w:hAnsi="宋体" w:eastAsia="宋体" w:cs="宋体"/>
          <w:b/>
          <w:bCs/>
          <w:sz w:val="28"/>
          <w:szCs w:val="28"/>
        </w:rPr>
        <w:t>（二）H餐饮公司服务营销策略存在的问题</w:t>
      </w:r>
      <w:bookmarkEnd w:id="32"/>
    </w:p>
    <w:p w14:paraId="0BCC108D">
      <w:pPr>
        <w:widowControl w:val="0"/>
        <w:ind w:firstLine="480"/>
        <w:jc w:val="both"/>
        <w:outlineLvl w:val="2"/>
        <w:rPr>
          <w:rFonts w:ascii="宋体" w:hAnsi="宋体" w:eastAsia="宋体" w:cs="宋体"/>
          <w:szCs w:val="24"/>
        </w:rPr>
      </w:pPr>
      <w:bookmarkStart w:id="33" w:name="_Toc26220"/>
      <w:r>
        <w:rPr>
          <w:rFonts w:hint="eastAsia" w:ascii="宋体" w:hAnsi="宋体" w:eastAsia="宋体" w:cs="宋体"/>
          <w:szCs w:val="24"/>
        </w:rPr>
        <w:t>1.人员素质不高</w:t>
      </w:r>
      <w:bookmarkEnd w:id="33"/>
    </w:p>
    <w:p w14:paraId="35517901">
      <w:pPr>
        <w:widowControl w:val="0"/>
        <w:ind w:firstLine="480"/>
        <w:jc w:val="both"/>
        <w:rPr>
          <w:rFonts w:ascii="宋体" w:hAnsi="宋体" w:eastAsia="宋体" w:cs="宋体"/>
          <w:szCs w:val="24"/>
        </w:rPr>
      </w:pPr>
      <w:r>
        <w:rPr>
          <w:rFonts w:hint="eastAsia" w:ascii="宋体" w:hAnsi="宋体" w:eastAsia="宋体" w:cs="宋体"/>
          <w:szCs w:val="24"/>
        </w:rPr>
        <w:t>调查发现，虽然 H餐饮管理公司的员工有着丰富的工作经验，……</w:t>
      </w:r>
    </w:p>
    <w:p w14:paraId="11BB6C93">
      <w:pPr>
        <w:widowControl w:val="0"/>
        <w:ind w:firstLine="480"/>
        <w:jc w:val="both"/>
        <w:outlineLvl w:val="2"/>
        <w:rPr>
          <w:rFonts w:ascii="宋体" w:hAnsi="宋体" w:eastAsia="宋体" w:cs="宋体"/>
          <w:szCs w:val="24"/>
        </w:rPr>
      </w:pPr>
      <w:bookmarkStart w:id="34" w:name="_Toc13231"/>
      <w:r>
        <w:rPr>
          <w:rFonts w:hint="eastAsia" w:ascii="宋体" w:hAnsi="宋体" w:eastAsia="宋体" w:cs="宋体"/>
          <w:szCs w:val="24"/>
        </w:rPr>
        <w:t>2.定价方式单一</w:t>
      </w:r>
      <w:bookmarkEnd w:id="34"/>
    </w:p>
    <w:p w14:paraId="18629B93">
      <w:pPr>
        <w:widowControl w:val="0"/>
        <w:ind w:firstLine="480"/>
        <w:jc w:val="both"/>
        <w:rPr>
          <w:rFonts w:ascii="宋体" w:hAnsi="宋体" w:eastAsia="宋体" w:cs="宋体"/>
          <w:b/>
          <w:bCs/>
          <w:szCs w:val="24"/>
        </w:rPr>
      </w:pPr>
      <w:r>
        <w:rPr>
          <w:rFonts w:hint="eastAsia" w:ascii="宋体" w:hAnsi="宋体" w:eastAsia="宋体" w:cs="宋体"/>
          <w:szCs w:val="24"/>
        </w:rPr>
        <w:t>合理的定价对于餐饮公司来说至关重要，</w:t>
      </w:r>
      <w:r>
        <w:rPr>
          <w:rFonts w:hint="eastAsia" w:ascii="宋体" w:hAnsi="宋体" w:eastAsia="宋体" w:cs="宋体"/>
          <w:b/>
          <w:bCs/>
          <w:szCs w:val="24"/>
        </w:rPr>
        <w:t>……</w:t>
      </w:r>
    </w:p>
    <w:p w14:paraId="197D7483">
      <w:pPr>
        <w:widowControl w:val="0"/>
        <w:ind w:firstLine="480"/>
        <w:jc w:val="both"/>
        <w:outlineLvl w:val="2"/>
        <w:rPr>
          <w:rFonts w:ascii="宋体" w:hAnsi="宋体" w:eastAsia="宋体" w:cs="宋体"/>
          <w:szCs w:val="24"/>
        </w:rPr>
      </w:pPr>
      <w:bookmarkStart w:id="35" w:name="_Toc19218"/>
      <w:r>
        <w:rPr>
          <w:rFonts w:hint="eastAsia" w:ascii="宋体" w:hAnsi="宋体" w:eastAsia="宋体" w:cs="宋体"/>
          <w:szCs w:val="24"/>
        </w:rPr>
        <w:t>3.产品重复率高</w:t>
      </w:r>
      <w:bookmarkEnd w:id="35"/>
    </w:p>
    <w:p w14:paraId="47377F11">
      <w:pPr>
        <w:widowControl w:val="0"/>
        <w:ind w:firstLine="480"/>
        <w:jc w:val="both"/>
        <w:rPr>
          <w:rFonts w:ascii="宋体" w:hAnsi="宋体" w:eastAsia="宋体" w:cs="宋体"/>
          <w:szCs w:val="24"/>
        </w:rPr>
      </w:pPr>
      <w:r>
        <w:rPr>
          <w:rFonts w:hint="eastAsia" w:ascii="宋体" w:hAnsi="宋体" w:eastAsia="宋体" w:cs="宋体"/>
          <w:szCs w:val="24"/>
        </w:rPr>
        <w:t>菜品同质化现象不仅削弱了餐饮行业的吸引力，……</w:t>
      </w:r>
    </w:p>
    <w:p w14:paraId="5522F8DD">
      <w:pPr>
        <w:widowControl w:val="0"/>
        <w:ind w:firstLine="480"/>
        <w:jc w:val="both"/>
        <w:rPr>
          <w:rFonts w:ascii="宋体" w:hAnsi="宋体" w:eastAsia="宋体" w:cs="宋体"/>
          <w:szCs w:val="24"/>
        </w:rPr>
      </w:pPr>
      <w:r>
        <w:rPr>
          <w:rFonts w:hint="eastAsia" w:ascii="宋体" w:hAnsi="宋体" w:eastAsia="宋体" w:cs="宋体"/>
          <w:szCs w:val="24"/>
        </w:rPr>
        <w:t>……</w:t>
      </w:r>
    </w:p>
    <w:p w14:paraId="3AC5D501">
      <w:pPr>
        <w:ind w:left="0" w:leftChars="0" w:firstLine="0" w:firstLineChars="0"/>
        <w:rPr>
          <w:rFonts w:hint="eastAsia" w:ascii="宋体" w:hAnsi="宋体" w:eastAsia="宋体" w:cs="宋体"/>
          <w:b/>
          <w:bCs/>
          <w:sz w:val="30"/>
          <w:szCs w:val="30"/>
        </w:rPr>
      </w:pPr>
      <w:bookmarkStart w:id="36" w:name="_Toc25107"/>
    </w:p>
    <w:p w14:paraId="7C7937EC">
      <w:pPr>
        <w:widowControl w:val="0"/>
        <w:ind w:firstLine="0" w:firstLineChars="0"/>
        <w:jc w:val="center"/>
        <w:outlineLvl w:val="0"/>
        <w:rPr>
          <w:rFonts w:ascii="宋体" w:hAnsi="宋体" w:eastAsia="宋体" w:cs="宋体"/>
          <w:b/>
          <w:bCs/>
          <w:sz w:val="30"/>
          <w:szCs w:val="30"/>
        </w:rPr>
      </w:pPr>
      <w:r>
        <w:rPr>
          <w:rFonts w:hint="eastAsia" w:ascii="宋体" w:hAnsi="宋体" w:eastAsia="宋体" w:cs="宋体"/>
          <w:b/>
          <w:bCs/>
          <w:sz w:val="30"/>
          <w:szCs w:val="30"/>
        </w:rPr>
        <w:t>五、H餐饮公司服务营销策略的优化建议</w:t>
      </w:r>
      <w:bookmarkEnd w:id="36"/>
    </w:p>
    <w:p w14:paraId="45096E72">
      <w:pPr>
        <w:widowControl w:val="0"/>
        <w:ind w:firstLine="480"/>
        <w:jc w:val="both"/>
        <w:rPr>
          <w:rFonts w:ascii="宋体" w:hAnsi="宋体" w:eastAsia="宋体" w:cs="宋体"/>
          <w:szCs w:val="24"/>
        </w:rPr>
      </w:pPr>
      <w:r>
        <w:rPr>
          <w:rFonts w:hint="eastAsia" w:ascii="宋体" w:hAnsi="宋体" w:eastAsia="宋体" w:cs="宋体"/>
          <w:szCs w:val="24"/>
        </w:rPr>
        <w:t>通过对 H餐饮管理公司的营销现状进行分析，发现其存在人员素质有待提 高、定价方式不够灵活、产品同质化程度高、营销渠道利用不充分、促销方式缺 乏吸引力、餐厅设施风格单一、服务形式不够丰富这 7 个方面的问题，本章将针对上述问题提出相应的优化策略。</w:t>
      </w:r>
    </w:p>
    <w:p w14:paraId="5F20A321">
      <w:pPr>
        <w:widowControl w:val="0"/>
        <w:ind w:firstLine="562"/>
        <w:jc w:val="both"/>
        <w:outlineLvl w:val="1"/>
        <w:rPr>
          <w:rFonts w:ascii="宋体" w:hAnsi="宋体" w:eastAsia="宋体" w:cs="宋体"/>
          <w:b/>
          <w:bCs/>
          <w:sz w:val="28"/>
          <w:szCs w:val="28"/>
        </w:rPr>
      </w:pPr>
      <w:bookmarkStart w:id="37" w:name="_Toc6713"/>
      <w:r>
        <w:rPr>
          <w:rFonts w:hint="eastAsia" w:ascii="宋体" w:hAnsi="宋体" w:eastAsia="宋体" w:cs="宋体"/>
          <w:b/>
          <w:bCs/>
          <w:sz w:val="28"/>
          <w:szCs w:val="28"/>
        </w:rPr>
        <w:t>（一）打造高质量团队</w:t>
      </w:r>
      <w:bookmarkEnd w:id="37"/>
    </w:p>
    <w:p w14:paraId="6610803E">
      <w:pPr>
        <w:widowControl w:val="0"/>
        <w:ind w:firstLine="480"/>
        <w:jc w:val="both"/>
        <w:rPr>
          <w:rFonts w:ascii="宋体" w:hAnsi="宋体" w:eastAsia="宋体" w:cs="宋体"/>
          <w:szCs w:val="24"/>
        </w:rPr>
      </w:pPr>
      <w:r>
        <w:rPr>
          <w:rFonts w:hint="eastAsia" w:ascii="宋体" w:hAnsi="宋体" w:eastAsia="宋体" w:cs="宋体"/>
          <w:szCs w:val="24"/>
        </w:rPr>
        <w:t>在现代餐饮业中，服务人员的角色已经不仅仅是提供传统的餐饮服务，更包 括了一种销售和营销的角色，……</w:t>
      </w:r>
    </w:p>
    <w:p w14:paraId="053BB26D">
      <w:pPr>
        <w:widowControl w:val="0"/>
        <w:ind w:firstLine="562"/>
        <w:jc w:val="both"/>
        <w:outlineLvl w:val="1"/>
        <w:rPr>
          <w:rFonts w:ascii="宋体" w:hAnsi="宋体" w:eastAsia="宋体" w:cs="宋体"/>
          <w:b/>
          <w:bCs/>
          <w:sz w:val="28"/>
          <w:szCs w:val="28"/>
        </w:rPr>
      </w:pPr>
      <w:bookmarkStart w:id="38" w:name="_Toc32215"/>
      <w:r>
        <w:rPr>
          <w:rFonts w:hint="eastAsia" w:ascii="宋体" w:hAnsi="宋体" w:eastAsia="宋体" w:cs="宋体"/>
          <w:b/>
          <w:bCs/>
          <w:sz w:val="28"/>
          <w:szCs w:val="28"/>
        </w:rPr>
        <w:t>（二）采用多元化定价策略</w:t>
      </w:r>
      <w:bookmarkEnd w:id="38"/>
    </w:p>
    <w:p w14:paraId="0E13D84A">
      <w:pPr>
        <w:widowControl w:val="0"/>
        <w:ind w:firstLine="480"/>
        <w:jc w:val="both"/>
        <w:rPr>
          <w:rFonts w:ascii="宋体" w:hAnsi="宋体" w:eastAsia="宋体" w:cs="宋体"/>
          <w:szCs w:val="24"/>
        </w:rPr>
      </w:pPr>
      <w:r>
        <w:rPr>
          <w:rFonts w:hint="eastAsia" w:ascii="宋体" w:hAnsi="宋体" w:eastAsia="宋体" w:cs="宋体"/>
          <w:szCs w:val="24"/>
        </w:rPr>
        <w:t>H餐饮管理公司可以采取精细化的鱼品重量分类策略，不仅能够满足顾客对 不同重量规格的需求，还能够通过合理的价格设定，……</w:t>
      </w:r>
    </w:p>
    <w:p w14:paraId="62665DB4">
      <w:pPr>
        <w:widowControl w:val="0"/>
        <w:ind w:firstLine="480"/>
        <w:jc w:val="both"/>
        <w:rPr>
          <w:rFonts w:hint="eastAsia" w:ascii="宋体" w:hAnsi="宋体" w:eastAsia="宋体" w:cs="宋体"/>
          <w:szCs w:val="24"/>
          <w:lang w:val="en-US" w:eastAsia="zh-CN"/>
        </w:rPr>
      </w:pPr>
      <w:r>
        <w:rPr>
          <w:rFonts w:hint="eastAsia" w:ascii="宋体" w:hAnsi="宋体" w:eastAsia="宋体" w:cs="宋体"/>
          <w:szCs w:val="24"/>
        </w:rPr>
        <w:t>……</w:t>
      </w:r>
      <w:bookmarkStart w:id="39" w:name="_Toc31661"/>
      <w:r>
        <w:rPr>
          <w:rFonts w:hint="eastAsia" w:ascii="宋体" w:hAnsi="宋体" w:eastAsia="宋体" w:cs="宋体"/>
          <w:szCs w:val="24"/>
          <w:lang w:val="en-US" w:eastAsia="zh-CN"/>
        </w:rPr>
        <w:t xml:space="preserve"> </w:t>
      </w:r>
    </w:p>
    <w:p w14:paraId="6BCE3CBB">
      <w:pPr>
        <w:widowControl w:val="0"/>
        <w:ind w:firstLine="480"/>
        <w:jc w:val="both"/>
        <w:rPr>
          <w:rFonts w:hint="eastAsia" w:ascii="宋体" w:hAnsi="宋体" w:eastAsia="宋体" w:cs="宋体"/>
          <w:szCs w:val="24"/>
        </w:rPr>
      </w:pPr>
      <w:r>
        <w:rPr>
          <w:rFonts w:hint="eastAsia" w:ascii="宋体" w:hAnsi="宋体" w:eastAsia="宋体" w:cs="宋体"/>
          <w:szCs w:val="24"/>
        </w:rPr>
        <w:t>……</w:t>
      </w:r>
    </w:p>
    <w:p w14:paraId="242AD8F3">
      <w:pPr>
        <w:rPr>
          <w:rFonts w:hint="eastAsia" w:ascii="宋体" w:hAnsi="宋体" w:eastAsia="宋体" w:cs="宋体"/>
          <w:szCs w:val="24"/>
        </w:rPr>
      </w:pPr>
      <w:r>
        <w:rPr>
          <w:rFonts w:hint="eastAsia" w:ascii="宋体" w:hAnsi="宋体" w:eastAsia="宋体" w:cs="宋体"/>
          <w:szCs w:val="24"/>
        </w:rPr>
        <w:br w:type="page"/>
      </w:r>
    </w:p>
    <w:p w14:paraId="47FCD34A">
      <w:pPr>
        <w:widowControl w:val="0"/>
        <w:ind w:firstLine="480"/>
        <w:jc w:val="center"/>
        <w:rPr>
          <w:rFonts w:ascii="宋体" w:hAnsi="宋体" w:eastAsia="宋体" w:cs="宋体"/>
          <w:b/>
          <w:bCs/>
          <w:sz w:val="30"/>
          <w:szCs w:val="30"/>
        </w:rPr>
      </w:pPr>
      <w:r>
        <w:rPr>
          <w:rFonts w:hint="eastAsia" w:ascii="宋体" w:hAnsi="宋体" w:eastAsia="宋体" w:cs="宋体"/>
          <w:b/>
          <w:bCs/>
          <w:sz w:val="30"/>
          <w:szCs w:val="30"/>
        </w:rPr>
        <w:t>六、结论</w:t>
      </w:r>
      <w:bookmarkEnd w:id="39"/>
    </w:p>
    <w:p w14:paraId="6843A788">
      <w:pPr>
        <w:widowControl w:val="0"/>
        <w:ind w:firstLine="480"/>
        <w:jc w:val="both"/>
        <w:rPr>
          <w:rFonts w:hint="eastAsia" w:ascii="宋体" w:hAnsi="宋体" w:eastAsia="宋体" w:cs="宋体"/>
          <w:szCs w:val="24"/>
        </w:rPr>
      </w:pPr>
      <w:r>
        <w:rPr>
          <w:rFonts w:hint="eastAsia" w:ascii="宋体" w:hAnsi="宋体" w:eastAsia="宋体" w:cs="宋体"/>
          <w:szCs w:val="24"/>
        </w:rPr>
        <w:t>在本篇论文中，我们对H餐饮管理公司的营销策略进行了深入地研究和分 析，通过对外部环境、行业特点、消费者需求的深入探讨，我们对H公司的营销策略有了更为全面和深入地了解，同时，我们也发现了H公司在营销策略中存在的问题，并针对这些问题提出了相应的改进建议。</w:t>
      </w:r>
    </w:p>
    <w:p w14:paraId="242D0365">
      <w:pPr>
        <w:widowControl w:val="0"/>
        <w:ind w:firstLine="480"/>
        <w:jc w:val="both"/>
        <w:rPr>
          <w:rFonts w:hint="eastAsia" w:ascii="宋体" w:hAnsi="宋体" w:eastAsia="宋体" w:cs="宋体"/>
          <w:szCs w:val="24"/>
        </w:rPr>
      </w:pPr>
      <w:r>
        <w:rPr>
          <w:rFonts w:hint="eastAsia" w:ascii="宋体" w:hAnsi="宋体" w:eastAsia="宋体" w:cs="宋体"/>
          <w:szCs w:val="24"/>
        </w:rPr>
        <w:t>通过对H公司的研究，我们认识到，在当前的餐饮行业中，营销策略的重 要性不言而喻，一个优秀的营销策略可以帮助餐饮公司吸引更多的消费者，提升品牌知名度和影响力，从而在激烈的市场竞争中获得优势。</w:t>
      </w:r>
    </w:p>
    <w:p w14:paraId="7D992ED9">
      <w:pPr>
        <w:widowControl w:val="0"/>
        <w:ind w:firstLine="480"/>
        <w:jc w:val="both"/>
        <w:rPr>
          <w:rFonts w:hint="eastAsia" w:ascii="宋体" w:hAnsi="宋体" w:eastAsia="宋体" w:cs="宋体"/>
          <w:szCs w:val="24"/>
        </w:rPr>
      </w:pPr>
      <w:r>
        <w:rPr>
          <w:rFonts w:hint="eastAsia" w:ascii="宋体" w:hAnsi="宋体" w:eastAsia="宋体" w:cs="宋体"/>
          <w:szCs w:val="24"/>
        </w:rPr>
        <w:t>然而，我们也看到，餐饮行业的竞争日益激烈，消费者需求日益多样化，这 要求餐饮公司必须不断创新，灵活调整营销策略，以适应市场的变化，H公司在 营销策略中存在的问题，如产品创新不足、价格策略不合理、促销活动缺乏新意 等，都是需要及时调整和改善的。</w:t>
      </w:r>
    </w:p>
    <w:p w14:paraId="06643F48">
      <w:pPr>
        <w:widowControl w:val="0"/>
        <w:ind w:firstLine="480"/>
        <w:jc w:val="both"/>
        <w:rPr>
          <w:rFonts w:hint="eastAsia" w:ascii="宋体" w:hAnsi="宋体" w:eastAsia="宋体" w:cs="宋体"/>
          <w:szCs w:val="24"/>
        </w:rPr>
      </w:pPr>
      <w:r>
        <w:rPr>
          <w:rFonts w:hint="eastAsia" w:ascii="宋体" w:hAnsi="宋体" w:eastAsia="宋体" w:cs="宋体"/>
          <w:szCs w:val="24"/>
        </w:rPr>
        <w:t>总的来说，我们希望本篇论文的研究能够为H餐饮管理公司在制定和调整 营销策略时提供有益的参考，帮助其在激烈的市场竞争中取得更好的成绩。同时， 我们也希望本篇论文的研究成果能够为餐饮行业其他企业提供一定的借鉴作用， 共同推动我国餐饮行业的发展。</w:t>
      </w:r>
    </w:p>
    <w:p w14:paraId="659767A1">
      <w:pPr>
        <w:widowControl w:val="0"/>
        <w:ind w:left="0" w:leftChars="0" w:firstLine="0" w:firstLineChars="0"/>
        <w:jc w:val="both"/>
        <w:rPr>
          <w:rFonts w:hint="eastAsia" w:ascii="宋体" w:hAnsi="宋体" w:eastAsia="宋体" w:cs="宋体"/>
          <w:szCs w:val="24"/>
        </w:rPr>
      </w:pPr>
    </w:p>
    <w:p w14:paraId="13B89612">
      <w:pPr>
        <w:keepNext w:val="0"/>
        <w:keepLines w:val="0"/>
        <w:pageBreakBefore w:val="0"/>
        <w:widowControl w:val="0"/>
        <w:kinsoku/>
        <w:overflowPunct/>
        <w:topLinePunct w:val="0"/>
        <w:autoSpaceDE/>
        <w:autoSpaceDN/>
        <w:bidi w:val="0"/>
        <w:adjustRightInd/>
        <w:snapToGrid/>
        <w:spacing w:line="240" w:lineRule="auto"/>
        <w:ind w:firstLine="480"/>
        <w:jc w:val="both"/>
        <w:textAlignment w:val="auto"/>
        <w:rPr>
          <w:rFonts w:hint="eastAsia" w:ascii="黑体" w:hAnsi="黑体" w:eastAsia="黑体" w:cs="黑体"/>
          <w:color w:val="FF0000"/>
          <w:szCs w:val="24"/>
        </w:rPr>
      </w:pPr>
      <w:r>
        <w:rPr>
          <w:rFonts w:hint="eastAsia" w:ascii="黑体" w:hAnsi="黑体" w:eastAsia="黑体" w:cs="黑体"/>
          <w:color w:val="FF0000"/>
          <w:szCs w:val="24"/>
        </w:rPr>
        <w:t>最后一个章节必须是结论部分，论文如果没有进行严密的推导论述的情况下，一般不使用“结论”这个词，建议使用“结语”或者“结束语”这样的词。</w:t>
      </w:r>
    </w:p>
    <w:p w14:paraId="630C760E">
      <w:pPr>
        <w:widowControl w:val="0"/>
        <w:ind w:firstLine="480"/>
        <w:jc w:val="both"/>
        <w:rPr>
          <w:rFonts w:hint="eastAsia" w:ascii="宋体" w:hAnsi="宋体" w:eastAsia="宋体" w:cs="宋体"/>
          <w:szCs w:val="24"/>
        </w:rPr>
      </w:pPr>
    </w:p>
    <w:p w14:paraId="478BA516">
      <w:pPr>
        <w:widowControl w:val="0"/>
        <w:ind w:firstLine="480"/>
        <w:jc w:val="both"/>
        <w:rPr>
          <w:rFonts w:hint="eastAsia" w:ascii="宋体" w:hAnsi="宋体" w:eastAsia="宋体" w:cs="宋体"/>
          <w:szCs w:val="24"/>
        </w:rPr>
      </w:pPr>
    </w:p>
    <w:p w14:paraId="17353DC0"/>
    <w:p w14:paraId="0819DC57">
      <w:pPr>
        <w:widowControl w:val="0"/>
        <w:ind w:firstLine="480"/>
        <w:jc w:val="both"/>
        <w:rPr>
          <w:rFonts w:ascii="宋体" w:hAnsi="宋体" w:eastAsia="宋体" w:cs="宋体"/>
          <w:szCs w:val="24"/>
        </w:rPr>
      </w:pPr>
    </w:p>
    <w:p w14:paraId="74ECE959">
      <w:pPr>
        <w:widowControl w:val="0"/>
        <w:ind w:firstLine="480"/>
        <w:jc w:val="both"/>
        <w:rPr>
          <w:rFonts w:ascii="宋体" w:hAnsi="宋体" w:eastAsia="宋体" w:cs="宋体"/>
          <w:szCs w:val="24"/>
        </w:rPr>
      </w:pPr>
    </w:p>
    <w:p w14:paraId="1E31217C">
      <w:pPr>
        <w:widowControl w:val="0"/>
        <w:ind w:firstLine="480"/>
        <w:jc w:val="both"/>
        <w:rPr>
          <w:rFonts w:ascii="宋体" w:hAnsi="宋体" w:eastAsia="宋体" w:cs="宋体"/>
          <w:szCs w:val="24"/>
        </w:rPr>
      </w:pPr>
    </w:p>
    <w:p w14:paraId="24D946B0">
      <w:pPr>
        <w:widowControl w:val="0"/>
        <w:ind w:firstLine="480"/>
        <w:jc w:val="both"/>
        <w:rPr>
          <w:rFonts w:ascii="宋体" w:hAnsi="宋体" w:eastAsia="宋体" w:cs="宋体"/>
          <w:szCs w:val="24"/>
        </w:rPr>
      </w:pPr>
    </w:p>
    <w:p w14:paraId="622FB32E">
      <w:pPr>
        <w:widowControl w:val="0"/>
        <w:ind w:firstLine="480"/>
        <w:jc w:val="both"/>
        <w:rPr>
          <w:rFonts w:ascii="宋体" w:hAnsi="宋体" w:eastAsia="宋体" w:cs="宋体"/>
          <w:szCs w:val="24"/>
        </w:rPr>
      </w:pPr>
    </w:p>
    <w:p w14:paraId="00EE0782">
      <w:pPr>
        <w:ind w:left="0" w:leftChars="0" w:firstLine="0" w:firstLineChars="0"/>
        <w:rPr>
          <w:rFonts w:hint="eastAsia" w:ascii="黑体" w:hAnsi="黑体" w:eastAsia="黑体" w:cs="黑体"/>
          <w:b/>
          <w:bCs/>
          <w:sz w:val="30"/>
          <w:szCs w:val="30"/>
        </w:rPr>
      </w:pPr>
      <w:bookmarkStart w:id="40" w:name="_Toc29423"/>
    </w:p>
    <w:p w14:paraId="4CA81C58">
      <w:pPr>
        <w:rPr>
          <w:rFonts w:hint="eastAsia" w:ascii="黑体" w:hAnsi="黑体" w:eastAsia="黑体" w:cs="黑体"/>
          <w:b/>
          <w:bCs/>
          <w:sz w:val="30"/>
          <w:szCs w:val="30"/>
        </w:rPr>
      </w:pPr>
      <w:r>
        <w:rPr>
          <w:rFonts w:hint="eastAsia" w:ascii="黑体" w:hAnsi="黑体" w:eastAsia="黑体" w:cs="黑体"/>
          <w:b/>
          <w:bCs/>
          <w:sz w:val="30"/>
          <w:szCs w:val="30"/>
        </w:rPr>
        <w:br w:type="page"/>
      </w:r>
    </w:p>
    <w:p w14:paraId="5728D5B2">
      <w:pPr>
        <w:widowControl w:val="0"/>
        <w:ind w:firstLine="0" w:firstLineChars="0"/>
        <w:jc w:val="center"/>
        <w:outlineLvl w:val="0"/>
        <w:rPr>
          <w:rFonts w:ascii="宋体" w:hAnsi="宋体" w:eastAsia="宋体" w:cs="宋体"/>
          <w:szCs w:val="24"/>
        </w:rPr>
      </w:pPr>
      <w:r>
        <w:rPr>
          <w:rFonts w:hint="eastAsia" w:ascii="黑体" w:hAnsi="黑体" w:eastAsia="黑体" w:cs="黑体"/>
          <w:b/>
          <w:bCs/>
          <w:sz w:val="30"/>
          <w:szCs w:val="30"/>
        </w:rPr>
        <w:t>参考文献</w:t>
      </w:r>
      <w:bookmarkEnd w:id="40"/>
    </w:p>
    <w:p w14:paraId="0D9FE7FD">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[1]包启库.餐饮空间设计[J].当代文坛,2023,(05):13.</w:t>
      </w:r>
    </w:p>
    <w:p w14:paraId="5028D564">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[2]崔雪莲,那日萨.基于消费者信任关系的在线口碑信息传播模型[J].系统管理学, 2020,29(03):521.</w:t>
      </w:r>
    </w:p>
    <w:p w14:paraId="25292550">
      <w:pPr>
        <w:keepNext w:val="0"/>
        <w:keepLines w:val="0"/>
        <w:pageBreakBefore w:val="0"/>
        <w:widowControl w:val="0"/>
        <w:kinsoku/>
        <w:overflowPunct/>
        <w:topLinePunct w:val="0"/>
        <w:autoSpaceDE/>
        <w:autoSpaceDN/>
        <w:bidi w:val="0"/>
        <w:adjustRightInd/>
        <w:snapToGrid/>
        <w:spacing w:line="240" w:lineRule="auto"/>
        <w:ind w:left="315" w:hanging="360" w:hangingChars="150"/>
        <w:jc w:val="both"/>
        <w:textAlignment w:val="auto"/>
        <w:rPr>
          <w:rFonts w:ascii="宋体" w:hAnsi="宋体" w:eastAsia="宋体" w:cs="宋体"/>
          <w:sz w:val="21"/>
          <w:szCs w:val="21"/>
        </w:rPr>
      </w:pPr>
      <w:r>
        <w:rPr>
          <w:rFonts w:ascii="宋体" w:hAnsi="宋体" w:cs="宋体"/>
          <w:kern w:val="0"/>
          <w:szCs w:val="24"/>
        </w:rPr>
        <mc:AlternateContent>
          <mc:Choice Requires="wps">
            <w:drawing>
              <wp:anchor distT="0" distB="0" distL="114300" distR="114300" simplePos="0" relativeHeight="251665408" behindDoc="0" locked="0" layoutInCell="1" allowOverlap="1">
                <wp:simplePos x="0" y="0"/>
                <wp:positionH relativeFrom="column">
                  <wp:posOffset>2263140</wp:posOffset>
                </wp:positionH>
                <wp:positionV relativeFrom="paragraph">
                  <wp:posOffset>123825</wp:posOffset>
                </wp:positionV>
                <wp:extent cx="3322320" cy="1090930"/>
                <wp:effectExtent l="4445" t="654685" r="10795" b="6985"/>
                <wp:wrapNone/>
                <wp:docPr id="5" name="矩形标注 5"/>
                <wp:cNvGraphicFramePr/>
                <a:graphic xmlns:a="http://schemas.openxmlformats.org/drawingml/2006/main">
                  <a:graphicData uri="http://schemas.microsoft.com/office/word/2010/wordprocessingShape">
                    <wps:wsp>
                      <wps:cNvSpPr>
                        <a:spLocks noChangeArrowheads="1"/>
                      </wps:cNvSpPr>
                      <wps:spPr bwMode="auto">
                        <a:xfrm rot="10800000">
                          <a:off x="0" y="0"/>
                          <a:ext cx="3322320" cy="1090930"/>
                        </a:xfrm>
                        <a:prstGeom prst="wedgeRectCallout">
                          <a:avLst>
                            <a:gd name="adj1" fmla="val 48856"/>
                            <a:gd name="adj2" fmla="val 108787"/>
                          </a:avLst>
                        </a:prstGeom>
                        <a:solidFill>
                          <a:srgbClr val="FFFFFF"/>
                        </a:solidFill>
                        <a:ln w="9525">
                          <a:solidFill>
                            <a:srgbClr val="000000"/>
                          </a:solidFill>
                          <a:miter lim="800000"/>
                        </a:ln>
                        <a:effectLst/>
                      </wps:spPr>
                      <wps:txbx>
                        <w:txbxContent>
                          <w:p w14:paraId="504247B8">
                            <w:pPr>
                              <w:pStyle w:val="10"/>
                              <w:rPr>
                                <w:rFonts w:hint="eastAsia" w:ascii="黑体" w:hAnsi="黑体" w:eastAsia="黑体" w:cs="黑体"/>
                                <w:color w:val="FF0000"/>
                                <w:lang w:eastAsia="zh-CN"/>
                              </w:rPr>
                            </w:pPr>
                            <w:r>
                              <w:rPr>
                                <w:rFonts w:hint="eastAsia" w:ascii="黑体" w:hAnsi="黑体" w:eastAsia="黑体" w:cs="黑体"/>
                                <w:color w:val="FF0000"/>
                              </w:rPr>
                              <w:t>参考文献另起一页，“参考文献”4个字为小三、黑体、居中</w:t>
                            </w:r>
                            <w:r>
                              <w:rPr>
                                <w:rFonts w:hint="eastAsia" w:ascii="黑体" w:hAnsi="黑体" w:eastAsia="黑体" w:cs="黑体"/>
                                <w:color w:val="FF0000"/>
                                <w:lang w:eastAsia="zh-CN"/>
                              </w:rPr>
                              <w:t>；</w:t>
                            </w:r>
                          </w:p>
                          <w:p w14:paraId="12061DF6">
                            <w:pPr>
                              <w:pStyle w:val="10"/>
                              <w:rPr>
                                <w:rFonts w:hint="default" w:ascii="黑体" w:hAnsi="黑体" w:eastAsia="黑体" w:cs="黑体"/>
                                <w:color w:val="FF0000"/>
                                <w:lang w:val="en-US" w:eastAsia="zh-CN"/>
                              </w:rPr>
                            </w:pPr>
                            <w:r>
                              <w:rPr>
                                <w:rFonts w:hint="eastAsia" w:ascii="黑体" w:hAnsi="黑体" w:eastAsia="黑体" w:cs="黑体"/>
                                <w:color w:val="FF0000"/>
                                <w:lang w:eastAsia="zh-CN"/>
                              </w:rPr>
                              <w:t>参考文献具体内容为5号字、宋体、悬挂缩进1.5字符，单倍行距；</w:t>
                            </w:r>
                            <w:r>
                              <w:rPr>
                                <w:rFonts w:hint="eastAsia" w:ascii="黑体" w:hAnsi="黑体" w:eastAsia="黑体" w:cs="黑体"/>
                                <w:color w:val="FF0000"/>
                                <w:lang w:val="en-US" w:eastAsia="zh-CN"/>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178.2pt;margin-top:9.75pt;height:85.9pt;width:261.6pt;rotation:11796480f;z-index:251665408;mso-width-relative:page;mso-height-relative:page;" fillcolor="#FFFFFF" filled="t" stroked="t" coordsize="21600,21600" o:gfxdata="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LlygDLcAAAACgEAAA8AAAAA&#10;AAAAAQAgAAAAIgAAAGRycy9kb3ducmV2LnhtbFBLAQIUABQAAAAIAIdO4kBRnUWhggIAAPwEAAAO&#10;AAAAAAAAAAEAIAAAACsBAABkcnMvZTJvRG9jLnhtbFBLBQYAAAAABgAGAFkBAAAfBgAAAAA=&#10;" adj="21353,34298">
                <v:path/>
                <v:fill on="t" focussize="0,0"/>
                <v:stroke joinstyle="miter"/>
                <v:imagedata o:title=""/>
                <o:lock v:ext="edit" aspectratio="f"/>
                <v:textbox>
                  <w:txbxContent>
                    <w:p w14:paraId="504247B8">
                      <w:pPr>
                        <w:pStyle w:val="10"/>
                        <w:rPr>
                          <w:rFonts w:hint="eastAsia" w:ascii="黑体" w:hAnsi="黑体" w:eastAsia="黑体" w:cs="黑体"/>
                          <w:color w:val="FF0000"/>
                          <w:lang w:eastAsia="zh-CN"/>
                        </w:rPr>
                      </w:pPr>
                      <w:r>
                        <w:rPr>
                          <w:rFonts w:hint="eastAsia" w:ascii="黑体" w:hAnsi="黑体" w:eastAsia="黑体" w:cs="黑体"/>
                          <w:color w:val="FF0000"/>
                        </w:rPr>
                        <w:t>参考文献另起一页，“参考文献”4个字为小三、黑体、居中</w:t>
                      </w:r>
                      <w:r>
                        <w:rPr>
                          <w:rFonts w:hint="eastAsia" w:ascii="黑体" w:hAnsi="黑体" w:eastAsia="黑体" w:cs="黑体"/>
                          <w:color w:val="FF0000"/>
                          <w:lang w:eastAsia="zh-CN"/>
                        </w:rPr>
                        <w:t>；</w:t>
                      </w:r>
                    </w:p>
                    <w:p w14:paraId="12061DF6">
                      <w:pPr>
                        <w:pStyle w:val="10"/>
                        <w:rPr>
                          <w:rFonts w:hint="default" w:ascii="黑体" w:hAnsi="黑体" w:eastAsia="黑体" w:cs="黑体"/>
                          <w:color w:val="FF0000"/>
                          <w:lang w:val="en-US" w:eastAsia="zh-CN"/>
                        </w:rPr>
                      </w:pPr>
                      <w:r>
                        <w:rPr>
                          <w:rFonts w:hint="eastAsia" w:ascii="黑体" w:hAnsi="黑体" w:eastAsia="黑体" w:cs="黑体"/>
                          <w:color w:val="FF0000"/>
                          <w:lang w:eastAsia="zh-CN"/>
                        </w:rPr>
                        <w:t>参考文献具体内容为5号字、宋体、悬挂缩进1.5字符，单倍行距；</w:t>
                      </w:r>
                      <w:r>
                        <w:rPr>
                          <w:rFonts w:hint="eastAsia" w:ascii="黑体" w:hAnsi="黑体" w:eastAsia="黑体" w:cs="黑体"/>
                          <w:color w:val="FF0000"/>
                          <w:lang w:val="en-US" w:eastAsia="zh-CN"/>
                        </w:rPr>
                        <w:t xml:space="preserve"> </w:t>
                      </w:r>
                    </w:p>
                  </w:txbxContent>
                </v:textbox>
              </v:shape>
            </w:pict>
          </mc:Fallback>
        </mc:AlternateContent>
      </w:r>
      <w:r>
        <w:rPr>
          <w:rFonts w:hint="eastAsia" w:ascii="宋体" w:hAnsi="宋体" w:eastAsia="宋体" w:cs="宋体"/>
          <w:sz w:val="21"/>
          <w:szCs w:val="21"/>
        </w:rPr>
        <w:t>[3]单琦.BS餐饮公司营销策略优化研究[D].大连理工大学,2021.</w:t>
      </w:r>
    </w:p>
    <w:p w14:paraId="48EDC71F">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[4]董鑫.抖音短视频平台的品牌营销策略研究[J].新闻爱好者,2020(03):61-63.</w:t>
      </w:r>
    </w:p>
    <w:p w14:paraId="5EEB2EF1">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[5]董岩,时光,时雨甜.线上营销对网络消费者购买行为的影响研究[J].经济问题索, 2020(10):45-55.</w:t>
      </w:r>
    </w:p>
    <w:p w14:paraId="176F3424">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[6]黄晓娜.媒体融合环境下期刊微信营销策略[J].传媒,2021(10):63-64+66.</w:t>
      </w:r>
    </w:p>
    <w:p w14:paraId="7D942C0A">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[7]鞠牛.我国青年人群的社交餐饮网与健康安全感——基于文化心理视角的分 析. 中国青年研究，2020(06):29-36+12.</w:t>
      </w:r>
    </w:p>
    <w:p w14:paraId="1F702E5B">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[8]李静. 中小企业营销中的策略选择——评《中小企业营销提成设计实务》[J]. 社会科学家,2020(11):163.</w:t>
      </w:r>
    </w:p>
    <w:p w14:paraId="7CA0ACDC">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[9]李沁.H餐饮公司市场营销策略研究[D].贵州大学,2021.</w:t>
      </w:r>
    </w:p>
    <w:p w14:paraId="39555875">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[10]梁肖.M餐饮管理公司营销策略优化研究[D].华东师范大学,2022.</w:t>
      </w:r>
    </w:p>
    <w:p w14:paraId="2166B04B">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[11]刘文纲,冯俊.供应链视角的连锁加盟商企业社会责任实现机制研究——餐饮 服务业多案例比较分析[J].北京工商大学学报(社会科学版),2017,32(05):97-10</w:t>
      </w:r>
    </w:p>
    <w:p w14:paraId="615F0E56">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[12]鲁芳,吴健,罗定提.考虑产品体验性和营销努力的分销渠道合作策略研究[J]. 中国管理科学,2020,28(10):144-155.</w:t>
      </w:r>
    </w:p>
    <w:p w14:paraId="0FBAD123">
      <w:pPr>
        <w:keepNext w:val="0"/>
        <w:keepLines w:val="0"/>
        <w:pageBreakBefore w:val="0"/>
        <w:widowControl w:val="0"/>
        <w:kinsoku/>
        <w:overflowPunct/>
        <w:topLinePunct w:val="0"/>
        <w:autoSpaceDE/>
        <w:autoSpaceDN/>
        <w:bidi w:val="0"/>
        <w:adjustRightInd/>
        <w:snapToGrid/>
        <w:spacing w:line="240" w:lineRule="auto"/>
        <w:ind w:left="315" w:hanging="315" w:hangingChars="150"/>
        <w:jc w:val="both"/>
        <w:textAlignment w:val="auto"/>
        <w:rPr>
          <w:rFonts w:ascii="宋体" w:hAnsi="宋体" w:eastAsia="宋体" w:cs="宋体"/>
          <w:sz w:val="21"/>
          <w:szCs w:val="21"/>
        </w:rPr>
      </w:pPr>
      <w:r>
        <w:rPr>
          <w:rFonts w:hint="eastAsia" w:ascii="宋体" w:hAnsi="宋体" w:eastAsia="宋体" w:cs="宋体"/>
          <w:sz w:val="21"/>
          <w:szCs w:val="21"/>
        </w:rPr>
        <w:t>[13]吕兴洋,刘小燕,谭慧敏.奖励对顾客网络口碑的影响与替代手段的寻求—— 以餐饮企业的点评返现活动为例[J].旅游学刊,2018,33(10):75-86.</w:t>
      </w:r>
    </w:p>
    <w:p w14:paraId="274749CA">
      <w:pPr>
        <w:keepNext w:val="0"/>
        <w:keepLines w:val="0"/>
        <w:pageBreakBefore w:val="0"/>
        <w:widowControl w:val="0"/>
        <w:kinsoku/>
        <w:overflowPunct/>
        <w:topLinePunct w:val="0"/>
        <w:autoSpaceDE/>
        <w:autoSpaceDN/>
        <w:bidi w:val="0"/>
        <w:adjustRightInd/>
        <w:snapToGrid/>
        <w:spacing w:line="240" w:lineRule="auto"/>
        <w:ind w:firstLine="480"/>
        <w:jc w:val="both"/>
        <w:textAlignment w:val="auto"/>
        <w:rPr>
          <w:rFonts w:ascii="宋体" w:hAnsi="宋体" w:eastAsia="宋体" w:cs="宋体"/>
          <w:szCs w:val="24"/>
        </w:rPr>
      </w:pPr>
    </w:p>
    <w:p w14:paraId="4BD9C344">
      <w:pPr>
        <w:keepNext w:val="0"/>
        <w:keepLines w:val="0"/>
        <w:pageBreakBefore w:val="0"/>
        <w:kinsoku/>
        <w:overflowPunct/>
        <w:topLinePunct w:val="0"/>
        <w:autoSpaceDE/>
        <w:autoSpaceDN/>
        <w:bidi w:val="0"/>
        <w:adjustRightInd/>
        <w:snapToGrid/>
        <w:spacing w:line="240" w:lineRule="auto"/>
        <w:ind w:firstLine="480"/>
        <w:textAlignment w:val="auto"/>
        <w:rPr>
          <w:rFonts w:ascii="宋体" w:hAnsi="宋体" w:eastAsia="宋体" w:cs="宋体"/>
          <w:szCs w:val="24"/>
        </w:rPr>
      </w:pPr>
      <w:r>
        <w:rPr>
          <w:rFonts w:ascii="黑体" w:hAnsi="黑体" w:eastAsia="黑体" w:cs="Arial"/>
          <w:color w:val="FF0000"/>
          <w:szCs w:val="24"/>
          <w:shd w:val="clear" w:color="auto" w:fill="FFFFFF"/>
        </w:rPr>
        <w:t>一篇论文的</w:t>
      </w:r>
      <w:r>
        <w:fldChar w:fldCharType="begin"/>
      </w:r>
      <w:r>
        <w:instrText xml:space="preserve"> HYPERLINK "https://baike.baidu.com/item/%E5%8F%82%E8%80%83%E6%96%87%E7%8C%AE" \t "_blank" </w:instrText>
      </w:r>
      <w:r>
        <w:fldChar w:fldCharType="separate"/>
      </w:r>
      <w:r>
        <w:rPr>
          <w:rStyle w:val="8"/>
          <w:rFonts w:ascii="黑体" w:hAnsi="黑体" w:eastAsia="黑体" w:cs="Arial"/>
          <w:color w:val="FF0000"/>
          <w:szCs w:val="24"/>
          <w:u w:val="none"/>
          <w:shd w:val="clear" w:color="auto" w:fill="FFFFFF"/>
        </w:rPr>
        <w:t>参考文献</w:t>
      </w:r>
      <w:r>
        <w:rPr>
          <w:rStyle w:val="8"/>
          <w:rFonts w:ascii="黑体" w:hAnsi="黑体" w:eastAsia="黑体" w:cs="Arial"/>
          <w:color w:val="FF0000"/>
          <w:szCs w:val="24"/>
          <w:u w:val="none"/>
          <w:shd w:val="clear" w:color="auto" w:fill="FFFFFF"/>
        </w:rPr>
        <w:fldChar w:fldCharType="end"/>
      </w:r>
      <w:r>
        <w:rPr>
          <w:rFonts w:ascii="黑体" w:hAnsi="黑体" w:eastAsia="黑体" w:cs="Arial"/>
          <w:color w:val="FF0000"/>
          <w:szCs w:val="24"/>
          <w:shd w:val="clear" w:color="auto" w:fill="FFFFFF"/>
        </w:rPr>
        <w:t>是将论文在研究和写作中可参考或引证的主要文献资料，列于论文的末尾</w:t>
      </w:r>
      <w:r>
        <w:rPr>
          <w:rFonts w:hint="eastAsia" w:ascii="黑体" w:hAnsi="黑体" w:eastAsia="黑体" w:cs="Arial"/>
          <w:color w:val="FF0000"/>
          <w:szCs w:val="24"/>
          <w:shd w:val="clear" w:color="auto" w:fill="FFFFFF"/>
        </w:rPr>
        <w:t>页</w:t>
      </w:r>
      <w:r>
        <w:rPr>
          <w:rFonts w:ascii="黑体" w:hAnsi="黑体" w:eastAsia="黑体" w:cs="Arial"/>
          <w:color w:val="FF0000"/>
          <w:szCs w:val="24"/>
          <w:shd w:val="clear" w:color="auto" w:fill="FFFFFF"/>
        </w:rPr>
        <w:t>。参考文献应</w:t>
      </w:r>
      <w:r>
        <w:rPr>
          <w:rFonts w:ascii="黑体" w:hAnsi="黑体" w:eastAsia="黑体" w:cs="Arial"/>
          <w:bCs/>
          <w:color w:val="FF0000"/>
          <w:szCs w:val="24"/>
          <w:shd w:val="clear" w:color="auto" w:fill="FFFFFF"/>
        </w:rPr>
        <w:t>另起一页</w:t>
      </w:r>
      <w:r>
        <w:rPr>
          <w:rFonts w:hint="eastAsia" w:ascii="黑体" w:hAnsi="黑体" w:eastAsia="黑体" w:cs="Arial"/>
          <w:bCs/>
          <w:color w:val="FF0000"/>
          <w:szCs w:val="24"/>
          <w:shd w:val="clear" w:color="auto" w:fill="FFFFFF"/>
        </w:rPr>
        <w:t>。</w:t>
      </w:r>
      <w:r>
        <w:rPr>
          <w:rFonts w:ascii="黑体" w:hAnsi="黑体" w:eastAsia="黑体" w:cs="Arial"/>
          <w:bCs/>
          <w:color w:val="FF0000"/>
          <w:szCs w:val="24"/>
          <w:shd w:val="clear" w:color="auto" w:fill="FFFFFF"/>
        </w:rPr>
        <w:t>范例如上，参考文献引用规则如下：</w:t>
      </w:r>
    </w:p>
    <w:p w14:paraId="328E28D3">
      <w:pPr>
        <w:keepNext w:val="0"/>
        <w:keepLines w:val="0"/>
        <w:pageBreakBefore w:val="0"/>
        <w:kinsoku/>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b/>
          <w:kern w:val="0"/>
          <w:sz w:val="30"/>
          <w:szCs w:val="30"/>
        </w:rPr>
      </w:pPr>
      <w:r>
        <w:rPr>
          <w:rFonts w:hint="eastAsia" w:ascii="黑体" w:hAnsi="黑体" w:eastAsia="黑体" w:cs="黑体"/>
          <w:b/>
          <w:color w:val="000000"/>
          <w:kern w:val="0"/>
          <w:sz w:val="30"/>
          <w:szCs w:val="30"/>
        </w:rPr>
        <w:t>参考文献</w:t>
      </w:r>
    </w:p>
    <w:p w14:paraId="3A52A6A3">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FF0000"/>
          <w:kern w:val="0"/>
          <w:sz w:val="21"/>
          <w:szCs w:val="21"/>
        </w:rPr>
        <w:t>（期刊论文）</w:t>
      </w:r>
      <w:r>
        <w:rPr>
          <w:rFonts w:hint="eastAsia" w:ascii="宋体" w:hAnsi="宋体" w:eastAsia="宋体" w:cs="宋体"/>
          <w:color w:val="000000"/>
          <w:kern w:val="0"/>
          <w:sz w:val="21"/>
          <w:szCs w:val="21"/>
        </w:rPr>
        <w:t>作者.题名[J].刊物名称，出版年，卷（期）：起止页码.</w:t>
      </w:r>
    </w:p>
    <w:p w14:paraId="127FFCE1">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例：翟东升, 夏  军, 张  杰，等. 基于专利新兴技术弱信号识别方法研究[J].情报杂志,2015,34 (8): 31-36.</w:t>
      </w:r>
    </w:p>
    <w:p w14:paraId="41F35867">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FF0000"/>
          <w:kern w:val="0"/>
          <w:sz w:val="21"/>
          <w:szCs w:val="21"/>
        </w:rPr>
        <w:t>（图书）</w:t>
      </w:r>
      <w:r>
        <w:rPr>
          <w:rFonts w:hint="eastAsia" w:ascii="宋体" w:hAnsi="宋体" w:eastAsia="宋体" w:cs="宋体"/>
          <w:color w:val="000000"/>
          <w:kern w:val="0"/>
          <w:sz w:val="21"/>
          <w:szCs w:val="21"/>
        </w:rPr>
        <w:t>作者.书名[M].出版地：出版社，出版年：起止页码.</w:t>
      </w:r>
    </w:p>
    <w:p w14:paraId="1EC6F662">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例：姜胜洪.网络谣言应对与舆情引导[M].北京：社会科学文献出版社，2013：267-268.</w:t>
      </w:r>
    </w:p>
    <w:p w14:paraId="2E79EA2A">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FF0000"/>
          <w:kern w:val="0"/>
          <w:sz w:val="21"/>
          <w:szCs w:val="21"/>
        </w:rPr>
        <w:t>（报纸）</w:t>
      </w:r>
      <w:r>
        <w:rPr>
          <w:rFonts w:hint="eastAsia" w:ascii="宋体" w:hAnsi="宋体" w:eastAsia="宋体" w:cs="宋体"/>
          <w:color w:val="000000"/>
          <w:kern w:val="0"/>
          <w:sz w:val="21"/>
          <w:szCs w:val="21"/>
        </w:rPr>
        <w:t>作者.题名[N].报纸名，年-月-日（版次）.</w:t>
      </w:r>
    </w:p>
    <w:p w14:paraId="6BF340E2">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例：谢希德.创造学习的新思路[N].人民日报，1998-12-25（10）.</w:t>
      </w:r>
    </w:p>
    <w:p w14:paraId="1EA58672">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[4]</w:t>
      </w:r>
      <w:r>
        <w:rPr>
          <w:rFonts w:hint="eastAsia" w:ascii="宋体" w:hAnsi="宋体" w:eastAsia="宋体" w:cs="宋体"/>
          <w:color w:val="FF0000"/>
          <w:kern w:val="0"/>
          <w:sz w:val="21"/>
          <w:szCs w:val="21"/>
        </w:rPr>
        <w:t>（学位论文）</w:t>
      </w:r>
      <w:r>
        <w:rPr>
          <w:rFonts w:hint="eastAsia" w:ascii="宋体" w:hAnsi="宋体" w:eastAsia="宋体" w:cs="宋体"/>
          <w:color w:val="000000"/>
          <w:kern w:val="0"/>
          <w:sz w:val="21"/>
          <w:szCs w:val="21"/>
        </w:rPr>
        <w:t>作者.题名[D].保存地:保存者，年份.</w:t>
      </w:r>
    </w:p>
    <w:p w14:paraId="44294301">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例：金天皓.转移渠道对创业导向大学技术转移效率的影响机制研究[D].上海:上海交通大学，2012.</w:t>
      </w:r>
    </w:p>
    <w:p w14:paraId="433E195B">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[5]</w:t>
      </w:r>
      <w:r>
        <w:rPr>
          <w:rFonts w:hint="eastAsia" w:ascii="宋体" w:hAnsi="宋体" w:eastAsia="宋体" w:cs="宋体"/>
          <w:color w:val="FF0000"/>
          <w:kern w:val="0"/>
          <w:sz w:val="21"/>
          <w:szCs w:val="21"/>
        </w:rPr>
        <w:t>（论文集）</w:t>
      </w:r>
      <w:r>
        <w:rPr>
          <w:rFonts w:hint="eastAsia" w:ascii="宋体" w:hAnsi="宋体" w:eastAsia="宋体" w:cs="宋体"/>
          <w:color w:val="000000"/>
          <w:kern w:val="0"/>
          <w:sz w:val="21"/>
          <w:szCs w:val="21"/>
        </w:rPr>
        <w:t>作者.题名[C]//主编者.论文集名.出版地：出版者，出版年：起止页码.</w:t>
      </w:r>
    </w:p>
    <w:p w14:paraId="6CE3DEB0">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 xml:space="preserve">例：臧雷振.互联网使用影响政务参与吗[C]//中国船舶大学.中国传媒大学第七届全国新闻学与传播学博士学术研讨会论文集.北京:中国传媒大学,2013:23-25. </w:t>
      </w:r>
    </w:p>
    <w:p w14:paraId="1E995728">
      <w:pPr>
        <w:keepNext w:val="0"/>
        <w:keepLines w:val="0"/>
        <w:pageBreakBefore w:val="0"/>
        <w:widowControl/>
        <w:shd w:val="clear" w:color="auto" w:fill="FFFFFF"/>
        <w:kinsoku/>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[6]</w:t>
      </w:r>
      <w:r>
        <w:rPr>
          <w:rFonts w:hint="eastAsia" w:ascii="宋体" w:hAnsi="宋体" w:eastAsia="宋体" w:cs="宋体"/>
          <w:color w:val="FF0000"/>
          <w:kern w:val="0"/>
          <w:sz w:val="21"/>
          <w:szCs w:val="21"/>
        </w:rPr>
        <w:t>（网络文献）</w:t>
      </w:r>
      <w:r>
        <w:rPr>
          <w:rFonts w:hint="eastAsia" w:ascii="宋体" w:hAnsi="宋体" w:eastAsia="宋体" w:cs="宋体"/>
          <w:color w:val="000000"/>
          <w:kern w:val="0"/>
          <w:sz w:val="21"/>
          <w:szCs w:val="21"/>
        </w:rPr>
        <w:t>作者.题名[EB/OL].[检索日期].网址.</w:t>
      </w:r>
    </w:p>
    <w:p w14:paraId="234A38E7">
      <w:pPr>
        <w:keepNext w:val="0"/>
        <w:keepLines w:val="0"/>
        <w:pageBreakBefore w:val="0"/>
        <w:widowControl/>
        <w:shd w:val="clear" w:color="auto" w:fill="FFFFFF"/>
        <w:kinsoku/>
        <w:wordWrap w:val="0"/>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 xml:space="preserve">例：吴 艳. 中药企业:学会在逆境中化危为机[EB/OL]. [2014-12-10]. http://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"http://www.spo.gov.cn/mtjj/2014/201412/620141210_1044731.htm" </w:instrText>
      </w:r>
      <w:r>
        <w:rPr>
          <w:rFonts w:hint="eastAsia" w:ascii="宋体" w:hAnsi="宋体" w:eastAsia="宋体" w:cs="宋体"/>
          <w:sz w:val="21"/>
          <w:szCs w:val="21"/>
        </w:rPr>
        <w:fldChar w:fldCharType="separate"/>
      </w:r>
      <w:r>
        <w:rPr>
          <w:rStyle w:val="8"/>
          <w:rFonts w:hint="eastAsia" w:ascii="宋体" w:hAnsi="宋体" w:eastAsia="宋体" w:cs="宋体"/>
          <w:color w:val="4F81BD"/>
          <w:kern w:val="0"/>
          <w:sz w:val="21"/>
          <w:szCs w:val="21"/>
        </w:rPr>
        <w:t>www.spo.gov.cn/mtjj/2014/201412/620141210_1044731.htm</w:t>
      </w:r>
      <w:r>
        <w:rPr>
          <w:rStyle w:val="8"/>
          <w:rFonts w:hint="eastAsia" w:ascii="宋体" w:hAnsi="宋体" w:eastAsia="宋体" w:cs="宋体"/>
          <w:color w:val="4F81BD"/>
          <w:kern w:val="0"/>
          <w:sz w:val="21"/>
          <w:szCs w:val="21"/>
        </w:rPr>
        <w:fldChar w:fldCharType="end"/>
      </w:r>
      <w:r>
        <w:rPr>
          <w:rFonts w:hint="eastAsia" w:ascii="宋体" w:hAnsi="宋体" w:eastAsia="宋体" w:cs="宋体"/>
          <w:color w:val="4F81BD"/>
          <w:kern w:val="0"/>
          <w:sz w:val="21"/>
          <w:szCs w:val="21"/>
        </w:rPr>
        <w:t>l.</w:t>
      </w:r>
    </w:p>
    <w:p w14:paraId="2686E089">
      <w:pPr>
        <w:keepNext w:val="0"/>
        <w:keepLines w:val="0"/>
        <w:pageBreakBefore w:val="0"/>
        <w:widowControl/>
        <w:shd w:val="clear" w:color="auto" w:fill="FFFFFF"/>
        <w:kinsoku/>
        <w:wordWrap w:val="0"/>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[7](专利文献)专利申请者或所有者.专利题名:专利国别,专利号 [P]公告日期或公开日期[引用日期]</w:t>
      </w:r>
    </w:p>
    <w:p w14:paraId="47F6FFB5">
      <w:pPr>
        <w:keepNext w:val="0"/>
        <w:keepLines w:val="0"/>
        <w:pageBreakBefore w:val="0"/>
        <w:widowControl/>
        <w:shd w:val="clear" w:color="auto" w:fill="FFFFFF"/>
        <w:kinsoku/>
        <w:wordWrap w:val="0"/>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例:姜锡洲.一种温热外敷药制备方案:中国，88105607.3[P].1980-07-26.</w:t>
      </w:r>
    </w:p>
    <w:p w14:paraId="59FA7094">
      <w:pPr>
        <w:keepNext w:val="0"/>
        <w:keepLines w:val="0"/>
        <w:pageBreakBefore w:val="0"/>
        <w:widowControl/>
        <w:shd w:val="clear" w:color="auto" w:fill="FFFFFF"/>
        <w:kinsoku/>
        <w:wordWrap w:val="0"/>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r>
        <w:rPr>
          <w:rFonts w:hint="eastAsia" w:ascii="宋体" w:hAnsi="宋体" w:eastAsia="宋体" w:cs="宋体"/>
          <w:color w:val="FF0000"/>
          <w:kern w:val="0"/>
          <w:sz w:val="21"/>
          <w:szCs w:val="21"/>
        </w:rPr>
        <w:t>(技术标准)</w:t>
      </w:r>
      <w:r>
        <w:rPr>
          <w:rFonts w:hint="eastAsia" w:ascii="宋体" w:hAnsi="宋体" w:eastAsia="宋体" w:cs="宋体"/>
          <w:color w:val="000000"/>
          <w:kern w:val="0"/>
          <w:sz w:val="21"/>
          <w:szCs w:val="21"/>
        </w:rPr>
        <w:t>责任者.标准代号 标准名称[S].出版地:出版者,引用时间:引用页码</w:t>
      </w:r>
    </w:p>
    <w:p w14:paraId="23A57070">
      <w:pPr>
        <w:keepNext w:val="0"/>
        <w:keepLines w:val="0"/>
        <w:pageBreakBefore w:val="0"/>
        <w:widowControl/>
        <w:shd w:val="clear" w:color="auto" w:fill="FFFFFF"/>
        <w:kinsoku/>
        <w:wordWrap w:val="0"/>
        <w:overflowPunct/>
        <w:topLinePunct w:val="0"/>
        <w:autoSpaceDE/>
        <w:autoSpaceDN/>
        <w:bidi w:val="0"/>
        <w:adjustRightInd/>
        <w:snapToGrid/>
        <w:spacing w:line="240" w:lineRule="auto"/>
        <w:ind w:left="317" w:leftChars="1" w:hanging="315" w:hangingChars="150"/>
        <w:textAlignment w:val="auto"/>
        <w:rPr>
          <w:rFonts w:hint="eastAsia" w:ascii="宋体" w:hAnsi="宋体" w:eastAsia="宋体" w:cs="宋体"/>
          <w:color w:val="4F81BD"/>
          <w:kern w:val="0"/>
          <w:sz w:val="21"/>
          <w:szCs w:val="21"/>
        </w:rPr>
      </w:pPr>
      <w:r>
        <w:rPr>
          <w:rFonts w:hint="eastAsia" w:ascii="宋体" w:hAnsi="宋体" w:eastAsia="宋体" w:cs="宋体"/>
          <w:color w:val="4F81BD"/>
          <w:kern w:val="0"/>
          <w:sz w:val="21"/>
          <w:szCs w:val="21"/>
        </w:rPr>
        <w:t>例:全国量和单位标准化技术委员会.GB3100～3102—1993量和单位[S],北京:中国标准出版社,1994:40-42.</w:t>
      </w:r>
    </w:p>
    <w:p w14:paraId="4A572B5F">
      <w:pPr>
        <w:keepNext w:val="0"/>
        <w:keepLines w:val="0"/>
        <w:pageBreakBefore w:val="0"/>
        <w:widowControl/>
        <w:shd w:val="clear" w:color="auto" w:fill="FFFFFF"/>
        <w:kinsoku/>
        <w:wordWrap/>
        <w:overflowPunct/>
        <w:topLinePunct w:val="0"/>
        <w:autoSpaceDE/>
        <w:autoSpaceDN/>
        <w:bidi w:val="0"/>
        <w:adjustRightInd/>
        <w:snapToGrid/>
        <w:spacing w:line="240" w:lineRule="auto"/>
        <w:ind w:left="362" w:leftChars="1" w:hanging="360" w:hangingChars="150"/>
        <w:textAlignment w:val="auto"/>
        <w:rPr>
          <w:rFonts w:hint="eastAsia" w:ascii="黑体" w:hAnsi="黑体" w:eastAsia="黑体" w:cs="黑体"/>
          <w:kern w:val="0"/>
          <w:sz w:val="24"/>
          <w:szCs w:val="24"/>
        </w:rPr>
      </w:pPr>
      <w:r>
        <w:rPr>
          <w:rFonts w:hint="eastAsia" w:ascii="黑体" w:hAnsi="黑体" w:eastAsia="黑体" w:cs="黑体"/>
          <w:color w:val="FF0000"/>
          <w:kern w:val="0"/>
          <w:sz w:val="24"/>
          <w:szCs w:val="24"/>
        </w:rPr>
        <w:t>（文献作者不多于3个的，全部著录；多于3个的，著录时保留前3个，其余用“等”（英文用et al）代替。外国作者采用姓在前、名取首字母置后的方式著录。）</w:t>
      </w:r>
    </w:p>
    <w:p w14:paraId="75AD8D4E">
      <w:pPr>
        <w:widowControl w:val="0"/>
        <w:ind w:firstLine="480"/>
        <w:jc w:val="both"/>
        <w:rPr>
          <w:rFonts w:ascii="宋体" w:hAnsi="宋体" w:eastAsia="宋体" w:cs="宋体"/>
          <w:szCs w:val="24"/>
        </w:rPr>
      </w:pPr>
    </w:p>
    <w:p w14:paraId="3912C16C">
      <w:pPr>
        <w:rPr>
          <w:rFonts w:hint="eastAsia" w:ascii="宋体" w:hAnsi="宋体" w:eastAsia="宋体" w:cs="宋体"/>
          <w:b/>
          <w:bCs/>
          <w:sz w:val="30"/>
          <w:szCs w:val="30"/>
        </w:rPr>
      </w:pPr>
    </w:p>
    <w:p w14:paraId="68E29F6A">
      <w:pPr>
        <w:widowControl w:val="0"/>
        <w:ind w:left="0" w:leftChars="0" w:firstLine="0" w:firstLineChars="0"/>
        <w:jc w:val="both"/>
        <w:rPr>
          <w:rFonts w:ascii="宋体" w:hAnsi="宋体" w:eastAsia="宋体" w:cs="宋体"/>
          <w:b/>
          <w:bCs/>
          <w:sz w:val="30"/>
          <w:szCs w:val="30"/>
        </w:rPr>
      </w:pPr>
      <w:r>
        <w:rPr>
          <w:rFonts w:hint="eastAsia" w:ascii="宋体" w:hAnsi="宋体" w:eastAsia="宋体" w:cs="宋体"/>
          <w:b/>
          <w:bCs/>
          <w:sz w:val="30"/>
          <w:szCs w:val="30"/>
        </w:rPr>
        <w:br w:type="page"/>
      </w:r>
      <w:r>
        <w:rPr>
          <w:rFonts w:hint="eastAsia" w:ascii="宋体" w:hAnsi="宋体" w:eastAsia="宋体" w:cs="宋体"/>
          <w:b/>
          <w:bCs/>
          <w:sz w:val="30"/>
          <w:szCs w:val="30"/>
        </w:rPr>
        <w:t>附录</w:t>
      </w:r>
    </w:p>
    <w:p w14:paraId="034C9996">
      <w:pPr>
        <w:widowControl w:val="0"/>
        <w:ind w:firstLine="480"/>
        <w:jc w:val="center"/>
        <w:rPr>
          <w:rFonts w:ascii="宋体" w:hAnsi="宋体" w:eastAsia="宋体" w:cs="宋体"/>
          <w:b/>
          <w:bCs/>
          <w:sz w:val="28"/>
          <w:szCs w:val="28"/>
        </w:rPr>
      </w:pPr>
      <w:r>
        <w:rPr>
          <w:rFonts w:hint="eastAsia" w:ascii="宋体" w:hAnsi="宋体" w:eastAsia="宋体" w:cs="宋体"/>
          <w:b/>
          <w:bCs/>
          <w:sz w:val="28"/>
          <w:szCs w:val="28"/>
        </w:rPr>
        <w:t>H餐饮管理公司调查问卷</w:t>
      </w:r>
    </w:p>
    <w:p w14:paraId="6FA4722C">
      <w:pPr>
        <w:widowControl w:val="0"/>
        <w:ind w:firstLine="480"/>
        <w:jc w:val="both"/>
        <w:rPr>
          <w:rFonts w:ascii="宋体" w:hAnsi="宋体" w:eastAsia="宋体" w:cs="宋体"/>
          <w:szCs w:val="24"/>
        </w:rPr>
      </w:pPr>
      <w:r>
        <w:rPr>
          <w:rFonts w:hint="eastAsia" w:ascii="宋体" w:hAnsi="宋体" w:eastAsia="宋体" w:cs="宋体"/>
          <w:szCs w:val="24"/>
        </w:rPr>
        <w:t>尊敬的先生/女士：</w:t>
      </w:r>
    </w:p>
    <w:p w14:paraId="52C95CDB">
      <w:pPr>
        <w:widowControl w:val="0"/>
        <w:ind w:firstLine="480"/>
        <w:jc w:val="both"/>
        <w:rPr>
          <w:rFonts w:ascii="宋体" w:hAnsi="宋体" w:eastAsia="宋体" w:cs="宋体"/>
          <w:szCs w:val="24"/>
        </w:rPr>
      </w:pPr>
      <w:r>
        <w:rPr>
          <w:rFonts w:hint="eastAsia" w:ascii="宋体" w:hAnsi="宋体" w:eastAsia="宋体" w:cs="宋体"/>
          <w:szCs w:val="24"/>
        </w:rPr>
        <w:t>您好！感谢您配合我们完成这个调查，您的填写将帮助企业更好地了解消费 者需求，为消费者提供更好的服务和产品，这份调查，题目为单选题和填空题， 单选题有补充请补充在对应题目旁，您的填写数据将严格保密，谢谢您的参与！</w:t>
      </w:r>
    </w:p>
    <w:p w14:paraId="20B4D93D">
      <w:pPr>
        <w:widowControl w:val="0"/>
        <w:numPr>
          <w:ilvl w:val="0"/>
          <w:numId w:val="1"/>
        </w:numPr>
        <w:ind w:firstLine="480"/>
        <w:jc w:val="both"/>
        <w:outlineLvl w:val="0"/>
        <w:rPr>
          <w:rFonts w:hint="eastAsia" w:ascii="宋体" w:hAnsi="宋体" w:eastAsia="宋体" w:cs="宋体"/>
          <w:szCs w:val="24"/>
        </w:rPr>
      </w:pPr>
      <w:r>
        <w:rPr>
          <w:rFonts w:hint="eastAsia" w:ascii="宋体" w:hAnsi="宋体" w:eastAsia="宋体" w:cs="宋体"/>
          <w:szCs w:val="24"/>
        </w:rPr>
        <w:t>基本信息</w:t>
      </w:r>
    </w:p>
    <w:p w14:paraId="7EED2657">
      <w:pPr>
        <w:widowControl w:val="0"/>
        <w:numPr>
          <w:ilvl w:val="0"/>
          <w:numId w:val="0"/>
        </w:numPr>
        <w:ind w:firstLine="480" w:firstLineChars="200"/>
        <w:jc w:val="both"/>
        <w:outlineLvl w:val="0"/>
        <w:rPr>
          <w:rFonts w:ascii="宋体" w:hAnsi="宋体" w:eastAsia="宋体" w:cs="宋体"/>
          <w:szCs w:val="24"/>
        </w:rPr>
      </w:pPr>
      <w:r>
        <w:rPr>
          <w:rFonts w:hint="eastAsia" w:ascii="宋体" w:hAnsi="宋体" w:eastAsia="宋体" w:cs="宋体"/>
          <w:szCs w:val="24"/>
        </w:rPr>
        <w:t>1.您的性别：</w:t>
      </w:r>
    </w:p>
    <w:p w14:paraId="7064878B">
      <w:pPr>
        <w:widowControl w:val="0"/>
        <w:ind w:firstLine="480"/>
        <w:jc w:val="both"/>
        <w:rPr>
          <w:rFonts w:ascii="宋体" w:hAnsi="宋体" w:eastAsia="宋体" w:cs="宋体"/>
          <w:szCs w:val="24"/>
        </w:rPr>
      </w:pPr>
      <w:r>
        <w:rPr>
          <w:rFonts w:hint="eastAsia" w:ascii="宋体" w:hAnsi="宋体" w:eastAsia="宋体" w:cs="宋体"/>
          <w:szCs w:val="24"/>
        </w:rPr>
        <w:t>A 男  B 女</w:t>
      </w:r>
    </w:p>
    <w:p w14:paraId="319D536F">
      <w:pPr>
        <w:widowControl w:val="0"/>
        <w:ind w:firstLine="480"/>
        <w:jc w:val="both"/>
        <w:outlineLvl w:val="1"/>
        <w:rPr>
          <w:rFonts w:ascii="宋体" w:hAnsi="宋体" w:eastAsia="宋体" w:cs="宋体"/>
          <w:szCs w:val="24"/>
        </w:rPr>
      </w:pPr>
      <w:r>
        <w:rPr>
          <w:rFonts w:hint="eastAsia" w:ascii="宋体" w:hAnsi="宋体" w:eastAsia="宋体" w:cs="宋体"/>
          <w:szCs w:val="24"/>
        </w:rPr>
        <w:t>2.您的年龄范围是：</w:t>
      </w:r>
    </w:p>
    <w:p w14:paraId="1B20F220">
      <w:pPr>
        <w:widowControl w:val="0"/>
        <w:ind w:firstLine="480"/>
        <w:jc w:val="both"/>
        <w:rPr>
          <w:rFonts w:ascii="宋体" w:hAnsi="宋体" w:eastAsia="宋体" w:cs="宋体"/>
          <w:szCs w:val="24"/>
        </w:rPr>
      </w:pPr>
      <w:r>
        <w:rPr>
          <w:rFonts w:hint="eastAsia" w:ascii="宋体" w:hAnsi="宋体" w:eastAsia="宋体" w:cs="宋体"/>
          <w:szCs w:val="24"/>
        </w:rPr>
        <w:t>A</w:t>
      </w:r>
      <w:r>
        <w:rPr>
          <w:rFonts w:hint="eastAsia" w:ascii="宋体" w:hAnsi="宋体" w:eastAsia="宋体" w:cs="宋体"/>
          <w:szCs w:val="24"/>
          <w:lang w:val="en-US" w:eastAsia="zh-CN"/>
        </w:rPr>
        <w:t xml:space="preserve"> </w:t>
      </w:r>
      <w:r>
        <w:rPr>
          <w:rFonts w:hint="eastAsia" w:ascii="宋体" w:hAnsi="宋体" w:eastAsia="宋体" w:cs="宋体"/>
          <w:szCs w:val="24"/>
        </w:rPr>
        <w:t>18 岁以下   B 18-</w:t>
      </w:r>
      <w:r>
        <w:rPr>
          <w:rFonts w:hint="eastAsia" w:ascii="宋体" w:hAnsi="宋体" w:eastAsia="宋体" w:cs="宋体"/>
          <w:szCs w:val="24"/>
          <w:lang w:val="en-US" w:eastAsia="zh-CN"/>
        </w:rPr>
        <w:t>30</w:t>
      </w:r>
      <w:r>
        <w:rPr>
          <w:rFonts w:hint="eastAsia" w:ascii="宋体" w:hAnsi="宋体" w:eastAsia="宋体" w:cs="宋体"/>
          <w:szCs w:val="24"/>
        </w:rPr>
        <w:t xml:space="preserve"> 岁   C</w:t>
      </w:r>
      <w:r>
        <w:rPr>
          <w:rFonts w:hint="eastAsia" w:ascii="宋体" w:hAnsi="宋体" w:eastAsia="宋体" w:cs="宋体"/>
          <w:szCs w:val="24"/>
          <w:lang w:val="en-US" w:eastAsia="zh-CN"/>
        </w:rPr>
        <w:t xml:space="preserve"> 31</w:t>
      </w:r>
      <w:r>
        <w:rPr>
          <w:rFonts w:hint="eastAsia" w:ascii="宋体" w:hAnsi="宋体" w:eastAsia="宋体" w:cs="宋体"/>
          <w:szCs w:val="24"/>
        </w:rPr>
        <w:t>-</w:t>
      </w:r>
      <w:r>
        <w:rPr>
          <w:rFonts w:hint="eastAsia" w:ascii="宋体" w:hAnsi="宋体" w:eastAsia="宋体" w:cs="宋体"/>
          <w:szCs w:val="24"/>
          <w:lang w:val="en-US" w:eastAsia="zh-CN"/>
        </w:rPr>
        <w:t>50</w:t>
      </w:r>
      <w:r>
        <w:rPr>
          <w:rFonts w:hint="eastAsia" w:ascii="宋体" w:hAnsi="宋体" w:eastAsia="宋体" w:cs="宋体"/>
          <w:szCs w:val="24"/>
        </w:rPr>
        <w:t>岁   D</w:t>
      </w:r>
      <w:r>
        <w:rPr>
          <w:rFonts w:hint="eastAsia" w:ascii="宋体" w:hAnsi="宋体" w:eastAsia="宋体" w:cs="宋体"/>
          <w:szCs w:val="24"/>
          <w:lang w:val="en-US" w:eastAsia="zh-CN"/>
        </w:rPr>
        <w:t xml:space="preserve"> 50</w:t>
      </w:r>
      <w:r>
        <w:rPr>
          <w:rFonts w:hint="eastAsia" w:ascii="宋体" w:hAnsi="宋体" w:eastAsia="宋体" w:cs="宋体"/>
          <w:szCs w:val="24"/>
        </w:rPr>
        <w:t>岁以上</w:t>
      </w:r>
    </w:p>
    <w:p w14:paraId="1FC8DBD8">
      <w:pPr>
        <w:widowControl w:val="0"/>
        <w:ind w:firstLine="480"/>
        <w:jc w:val="both"/>
        <w:outlineLvl w:val="1"/>
        <w:rPr>
          <w:rFonts w:ascii="宋体" w:hAnsi="宋体" w:eastAsia="宋体" w:cs="宋体"/>
          <w:szCs w:val="24"/>
        </w:rPr>
      </w:pPr>
      <w:r>
        <w:rPr>
          <w:rFonts w:hint="eastAsia" w:ascii="宋体" w:hAnsi="宋体" w:eastAsia="宋体" w:cs="宋体"/>
          <w:szCs w:val="24"/>
          <w:lang w:val="en-US" w:eastAsia="zh-CN"/>
        </w:rPr>
        <w:t>3.</w:t>
      </w:r>
      <w:r>
        <w:rPr>
          <w:rFonts w:hint="eastAsia" w:ascii="宋体" w:hAnsi="宋体" w:eastAsia="宋体" w:cs="宋体"/>
          <w:szCs w:val="24"/>
        </w:rPr>
        <w:t>您通常在什么情况下选择本餐厅就餐：</w:t>
      </w:r>
    </w:p>
    <w:p w14:paraId="4DED77D6">
      <w:pPr>
        <w:widowControl w:val="0"/>
        <w:ind w:firstLine="480"/>
        <w:jc w:val="both"/>
        <w:rPr>
          <w:rFonts w:hint="eastAsia" w:ascii="宋体" w:hAnsi="宋体" w:eastAsia="宋体" w:cs="宋体"/>
          <w:szCs w:val="24"/>
        </w:rPr>
      </w:pPr>
      <w:r>
        <w:rPr>
          <w:rFonts w:hint="eastAsia" w:ascii="宋体" w:hAnsi="宋体" w:eastAsia="宋体" w:cs="宋体"/>
          <w:szCs w:val="24"/>
        </w:rPr>
        <w:t>A 朋友聚会  B 促销活动   C 商务接待    D 节日庆祝  E 公司聚会</w:t>
      </w:r>
    </w:p>
    <w:p w14:paraId="65864C53">
      <w:pPr>
        <w:widowControl w:val="0"/>
        <w:jc w:val="both"/>
        <w:rPr>
          <w:rFonts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rPr>
        <w:t>.（可多选）下列影响您选择 H餐饮管理公司就餐的因素：</w:t>
      </w:r>
    </w:p>
    <w:p w14:paraId="0526E94E">
      <w:pPr>
        <w:widowControl w:val="0"/>
        <w:ind w:firstLine="480"/>
        <w:jc w:val="both"/>
        <w:rPr>
          <w:rFonts w:ascii="宋体" w:hAnsi="宋体" w:eastAsia="宋体" w:cs="宋体"/>
          <w:szCs w:val="24"/>
        </w:rPr>
      </w:pPr>
      <w:r>
        <w:rPr>
          <w:rFonts w:hint="eastAsia" w:ascii="宋体" w:hAnsi="宋体" w:eastAsia="宋体" w:cs="宋体"/>
          <w:szCs w:val="24"/>
        </w:rPr>
        <w:t>A 产品价格    B 食品口味   C 服务质量  D 地理位置  E 环境氛围</w:t>
      </w:r>
    </w:p>
    <w:p w14:paraId="0FD1E2C4">
      <w:pPr>
        <w:widowControl w:val="0"/>
        <w:ind w:firstLine="480"/>
        <w:jc w:val="both"/>
        <w:outlineLvl w:val="1"/>
        <w:rPr>
          <w:rFonts w:ascii="宋体" w:hAnsi="宋体" w:eastAsia="宋体" w:cs="宋体"/>
          <w:szCs w:val="24"/>
        </w:rPr>
      </w:pPr>
      <w:r>
        <w:rPr>
          <w:rFonts w:hint="eastAsia" w:ascii="宋体" w:hAnsi="宋体" w:eastAsia="宋体" w:cs="宋体"/>
          <w:szCs w:val="24"/>
          <w:lang w:val="en-US" w:eastAsia="zh-CN"/>
        </w:rPr>
        <w:t>5</w:t>
      </w:r>
      <w:r>
        <w:rPr>
          <w:rFonts w:hint="eastAsia" w:ascii="宋体" w:hAnsi="宋体" w:eastAsia="宋体" w:cs="宋体"/>
          <w:szCs w:val="24"/>
        </w:rPr>
        <w:t>.您通常外出就餐能承受的人均消费额：</w:t>
      </w:r>
    </w:p>
    <w:p w14:paraId="1378BFE6">
      <w:pPr>
        <w:widowControl w:val="0"/>
        <w:ind w:firstLine="480"/>
        <w:jc w:val="both"/>
        <w:rPr>
          <w:rFonts w:hint="eastAsia" w:ascii="宋体" w:hAnsi="宋体" w:eastAsia="宋体" w:cs="宋体"/>
          <w:szCs w:val="24"/>
        </w:rPr>
      </w:pPr>
      <w:r>
        <w:rPr>
          <w:rFonts w:hint="eastAsia" w:ascii="宋体" w:hAnsi="宋体" w:eastAsia="宋体" w:cs="宋体"/>
          <w:szCs w:val="24"/>
        </w:rPr>
        <w:t>A 50 元以下   B 50-100元  C 100-200元</w:t>
      </w:r>
      <w:r>
        <w:rPr>
          <w:rFonts w:hint="eastAsia" w:ascii="宋体" w:hAnsi="宋体" w:eastAsia="宋体" w:cs="宋体"/>
          <w:szCs w:val="24"/>
          <w:lang w:val="en-US" w:eastAsia="zh-CN"/>
        </w:rPr>
        <w:t xml:space="preserve"> </w:t>
      </w:r>
      <w:r>
        <w:rPr>
          <w:rFonts w:hint="eastAsia" w:ascii="宋体" w:hAnsi="宋体" w:eastAsia="宋体" w:cs="宋体"/>
          <w:szCs w:val="24"/>
        </w:rPr>
        <w:t xml:space="preserve"> D200-500 元  E 500元以上</w:t>
      </w:r>
    </w:p>
    <w:p w14:paraId="3EA99D4E">
      <w:pPr>
        <w:widowControl w:val="0"/>
        <w:ind w:firstLine="480"/>
        <w:jc w:val="both"/>
        <w:rPr>
          <w:rFonts w:hint="eastAsia" w:ascii="宋体" w:hAnsi="宋体" w:eastAsia="宋体" w:cs="宋体"/>
          <w:szCs w:val="24"/>
          <w:lang w:eastAsia="zh-CN"/>
        </w:rPr>
      </w:pPr>
      <w:r>
        <w:rPr>
          <w:rFonts w:hint="eastAsia" w:ascii="宋体" w:hAnsi="宋体" w:eastAsia="宋体" w:cs="宋体"/>
          <w:szCs w:val="24"/>
          <w:lang w:eastAsia="zh-CN"/>
        </w:rPr>
        <w:t>……</w:t>
      </w:r>
    </w:p>
    <w:p w14:paraId="50CEF2E4">
      <w:pPr>
        <w:ind w:firstLine="720"/>
      </w:pPr>
    </w:p>
    <w:p w14:paraId="710ADD41"/>
    <w:sectPr>
      <w:headerReference r:id="rId5" w:type="default"/>
      <w:footerReference r:id="rId6" w:type="default"/>
      <w:pgSz w:w="11906" w:h="16838"/>
      <w:pgMar w:top="1440" w:right="1800" w:bottom="1440" w:left="1800" w:header="0" w:footer="992" w:gutter="0"/>
      <w:pgNumType w:fmt="decimal" w:start="1"/>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dobeSongStd-Light">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E7CEA">
    <w:pPr>
      <w:pStyle w:val="3"/>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6CC514">
                          <w:pPr>
                            <w:pStyle w:val="3"/>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366CC514">
                    <w:pPr>
                      <w:pStyle w:val="3"/>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C6EFA">
    <w:pPr>
      <w:pStyle w:val="3"/>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6F9F614">
                          <w:pPr>
                            <w:pStyle w:val="3"/>
                          </w:pPr>
                          <w:r>
                            <w:fldChar w:fldCharType="begin"/>
                          </w:r>
                          <w:r>
                            <w:instrText xml:space="preserve">PAGE   \* MERGEFORMAT</w:instrText>
                          </w:r>
                          <w:r>
                            <w:fldChar w:fldCharType="separate"/>
                          </w:r>
                          <w:r>
                            <w:rPr>
                              <w:lang w:val="zh-CN"/>
                            </w:rPr>
                            <w:t>IV</w:t>
                          </w:r>
                          <w:r>
                            <w:fldChar w:fldCharType="end"/>
                          </w:r>
                        </w:p>
                        <w:p w14:paraId="326AF8A0"/>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xuOmM0QEAAKIDAAAOAAAAAAAAAAEAIAAAAB8BAABk&#10;cnMvZTJvRG9jLnhtbFBLBQYAAAAABgAGAFkBAABiBQAAAAA=&#10;">
              <v:path/>
              <v:fill on="f" focussize="0,0"/>
              <v:stroke on="f" weight="0.5pt"/>
              <v:imagedata o:title=""/>
              <o:lock v:ext="edit" aspectratio="f"/>
              <v:textbox inset="0mm,0mm,0mm,0mm" style="mso-fit-shape-to-text:t;">
                <w:txbxContent>
                  <w:p w14:paraId="16F9F614">
                    <w:pPr>
                      <w:pStyle w:val="3"/>
                    </w:pPr>
                    <w:r>
                      <w:fldChar w:fldCharType="begin"/>
                    </w:r>
                    <w:r>
                      <w:instrText xml:space="preserve">PAGE   \* MERGEFORMAT</w:instrText>
                    </w:r>
                    <w:r>
                      <w:fldChar w:fldCharType="separate"/>
                    </w:r>
                    <w:r>
                      <w:rPr>
                        <w:lang w:val="zh-CN"/>
                      </w:rPr>
                      <w:t>IV</w:t>
                    </w:r>
                    <w:r>
                      <w:fldChar w:fldCharType="end"/>
                    </w:r>
                  </w:p>
                  <w:p w14:paraId="326AF8A0"/>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D1A4">
    <w:pPr>
      <w:pStyle w:val="3"/>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8622B6">
                          <w:pPr>
                            <w:pStyle w:val="3"/>
                          </w:pPr>
                          <w:r>
                            <w:fldChar w:fldCharType="begin"/>
                          </w:r>
                          <w:r>
                            <w:instrText xml:space="preserve">PAGE   \* MERGEFORMAT</w:instrText>
                          </w:r>
                          <w:r>
                            <w:fldChar w:fldCharType="separate"/>
                          </w:r>
                          <w:r>
                            <w:rPr>
                              <w:lang w:val="zh-CN"/>
                            </w:rPr>
                            <w:t>15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F8622B6">
                    <w:pPr>
                      <w:pStyle w:val="3"/>
                    </w:pPr>
                    <w:r>
                      <w:fldChar w:fldCharType="begin"/>
                    </w:r>
                    <w:r>
                      <w:instrText xml:space="preserve">PAGE   \* MERGEFORMAT</w:instrText>
                    </w:r>
                    <w:r>
                      <w:fldChar w:fldCharType="separate"/>
                    </w:r>
                    <w:r>
                      <w:rPr>
                        <w:lang w:val="zh-CN"/>
                      </w:rP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E1363">
    <w:pPr>
      <w:pStyle w:val="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D3A86"/>
    <w:multiLevelType w:val="singleLevel"/>
    <w:tmpl w:val="8BBD3A8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A2C8E"/>
    <w:rsid w:val="460A2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bCs/>
      <w:color w:val="000000"/>
      <w:sz w:val="24"/>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eastAsia="宋体" w:cs="Times New Roman"/>
      <w:b/>
      <w:kern w:val="44"/>
      <w:sz w:val="44"/>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spacing w:line="240" w:lineRule="auto"/>
      <w:ind w:firstLine="0" w:firstLineChars="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sz w:val="16"/>
      <w:szCs w:val="16"/>
      <w:u w:val="single"/>
    </w:rPr>
  </w:style>
  <w:style w:type="paragraph" w:styleId="9">
    <w:name w:val="List Paragraph"/>
    <w:basedOn w:val="1"/>
    <w:qFormat/>
    <w:uiPriority w:val="34"/>
    <w:pPr>
      <w:widowControl w:val="0"/>
      <w:ind w:firstLine="420"/>
    </w:pPr>
    <w:rPr>
      <w:rFonts w:ascii="Times New Roman" w:hAnsi="Times New Roman" w:eastAsia="宋体" w:cs="Times New Roman"/>
    </w:rPr>
  </w:style>
  <w:style w:type="paragraph" w:styleId="10">
    <w:name w:val="No Spacing"/>
    <w:qFormat/>
    <w:uiPriority w:val="1"/>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2024-11-07T14:04:00Z</dcterms:created>
  <dc:creator>焦晓波</dc:creator>
  <cp:lastModifiedBy>焦晓波</cp:lastModifiedBy>
  <dcterms:modified xsi:type="dcterms:W3CDTF">2024-11-07T14:05:29Z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DDAAD7564A2947638341C6F16C99BCFC_11</vt:lpwstr>
  </property>
</Properties>
</file>