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35BC6">
      <w:pPr>
        <w:rPr>
          <w:rFonts w:ascii="仿宋" w:hAnsi="仿宋" w:eastAsia="仿宋" w:cs="仿宋"/>
          <w:color w:val="000000"/>
          <w:kern w:val="0"/>
          <w:sz w:val="28"/>
          <w:szCs w:val="28"/>
        </w:rPr>
      </w:pPr>
      <w:bookmarkStart w:id="0" w:name="_GoBack"/>
      <w:bookmarkEnd w:id="0"/>
      <w:r>
        <w:rPr>
          <w:rFonts w:hint="eastAsia" w:ascii="仿宋" w:hAnsi="仿宋" w:eastAsia="仿宋" w:cs="仿宋"/>
          <w:color w:val="000000"/>
          <w:kern w:val="0"/>
          <w:sz w:val="28"/>
          <w:szCs w:val="28"/>
        </w:rPr>
        <w:t>附件4</w:t>
      </w:r>
    </w:p>
    <w:p w14:paraId="3BD18F75">
      <w:pPr>
        <w:jc w:val="center"/>
        <w:rPr>
          <w:rFonts w:ascii="仿宋" w:hAnsi="仿宋" w:eastAsia="仿宋" w:cs="仿宋"/>
          <w:b/>
          <w:color w:val="000000"/>
          <w:kern w:val="0"/>
          <w:sz w:val="30"/>
          <w:szCs w:val="30"/>
        </w:rPr>
      </w:pPr>
      <w:r>
        <w:rPr>
          <w:rFonts w:ascii="仿宋" w:hAnsi="仿宋" w:eastAsia="仿宋" w:cs="仿宋"/>
          <w:b/>
          <w:color w:val="000000"/>
          <w:kern w:val="0"/>
          <w:sz w:val="30"/>
          <w:szCs w:val="30"/>
        </w:rPr>
        <w:t>桂林电子科技大学高等学历继续教育日语学业水平</w:t>
      </w:r>
    </w:p>
    <w:p w14:paraId="43936CE6">
      <w:pPr>
        <w:jc w:val="center"/>
        <w:rPr>
          <w:color w:val="FF0000"/>
          <w:sz w:val="28"/>
          <w:szCs w:val="28"/>
        </w:rPr>
      </w:pPr>
      <w:r>
        <w:rPr>
          <w:rFonts w:ascii="仿宋" w:hAnsi="仿宋" w:eastAsia="仿宋" w:cs="仿宋"/>
          <w:b/>
          <w:color w:val="000000"/>
          <w:kern w:val="0"/>
          <w:sz w:val="30"/>
          <w:szCs w:val="30"/>
        </w:rPr>
        <w:t>考试大纲（</w:t>
      </w:r>
      <w:r>
        <w:rPr>
          <w:rFonts w:hint="eastAsia" w:ascii="仿宋" w:hAnsi="仿宋" w:eastAsia="仿宋" w:cs="仿宋"/>
          <w:b/>
          <w:color w:val="000000"/>
          <w:kern w:val="0"/>
          <w:sz w:val="30"/>
          <w:szCs w:val="30"/>
        </w:rPr>
        <w:t>2025</w:t>
      </w:r>
      <w:r>
        <w:rPr>
          <w:rFonts w:ascii="仿宋" w:hAnsi="仿宋" w:eastAsia="仿宋" w:cs="仿宋"/>
          <w:b/>
          <w:color w:val="000000"/>
          <w:kern w:val="0"/>
          <w:sz w:val="30"/>
          <w:szCs w:val="30"/>
        </w:rPr>
        <w:t>）</w:t>
      </w:r>
    </w:p>
    <w:p w14:paraId="595978EE">
      <w:pPr>
        <w:rPr>
          <w:color w:val="FF0000"/>
          <w:sz w:val="24"/>
        </w:rPr>
      </w:pPr>
    </w:p>
    <w:p w14:paraId="080AA35F">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一、考试性质</w:t>
      </w:r>
    </w:p>
    <w:p w14:paraId="7F36B484">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桂林电子科技大学高等学历继续教育日语学业水平测验，旨在测试高等学历继续教育本科生（英语专业）对于第二外国语的掌握和运用是否达到授予学士学位的水平。考生的测验成果将作为是否授予高等学历继续教育学士学位的主要依据之一。</w:t>
      </w:r>
    </w:p>
    <w:p w14:paraId="400E406F">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二、考试要求</w:t>
      </w:r>
    </w:p>
    <w:p w14:paraId="37E122B3">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要求考生能够较熟练地掌握日语根本语法和常用词汇，具有一定的阅读能力和综合运用能力。</w:t>
      </w:r>
    </w:p>
    <w:p w14:paraId="580BA61F">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三、难度要求</w:t>
      </w:r>
    </w:p>
    <w:p w14:paraId="0600D77A">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整体难度和试题数量参考日本语能力测试N4级，包含词汇掌握、阅读理解、应用文写作、命题写作等考察维度。</w:t>
      </w:r>
    </w:p>
    <w:p w14:paraId="108AF672">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四、题型说明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461"/>
        <w:gridCol w:w="1350"/>
        <w:gridCol w:w="3966"/>
        <w:gridCol w:w="944"/>
        <w:gridCol w:w="782"/>
      </w:tblGrid>
      <w:tr w14:paraId="3908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20502A41">
            <w:pPr>
              <w:jc w:val="center"/>
              <w:rPr>
                <w:rFonts w:ascii="仿宋" w:hAnsi="仿宋" w:eastAsia="仿宋"/>
                <w:szCs w:val="21"/>
              </w:rPr>
            </w:pPr>
            <w:r>
              <w:rPr>
                <w:rFonts w:hint="eastAsia" w:ascii="仿宋" w:hAnsi="仿宋" w:eastAsia="仿宋"/>
                <w:szCs w:val="21"/>
              </w:rPr>
              <w:t>序号</w:t>
            </w:r>
          </w:p>
        </w:tc>
        <w:tc>
          <w:tcPr>
            <w:tcW w:w="1559" w:type="dxa"/>
            <w:shd w:val="clear" w:color="auto" w:fill="auto"/>
            <w:vAlign w:val="center"/>
          </w:tcPr>
          <w:p w14:paraId="30F8ED09">
            <w:pPr>
              <w:jc w:val="center"/>
              <w:rPr>
                <w:rFonts w:ascii="仿宋" w:hAnsi="仿宋" w:eastAsia="仿宋"/>
                <w:szCs w:val="21"/>
              </w:rPr>
            </w:pPr>
            <w:r>
              <w:rPr>
                <w:rFonts w:hint="eastAsia" w:ascii="仿宋" w:hAnsi="仿宋" w:eastAsia="仿宋"/>
                <w:szCs w:val="21"/>
              </w:rPr>
              <w:t>题型</w:t>
            </w:r>
          </w:p>
        </w:tc>
        <w:tc>
          <w:tcPr>
            <w:tcW w:w="1418" w:type="dxa"/>
            <w:shd w:val="clear" w:color="auto" w:fill="auto"/>
            <w:vAlign w:val="center"/>
          </w:tcPr>
          <w:p w14:paraId="65830641">
            <w:pPr>
              <w:jc w:val="center"/>
              <w:rPr>
                <w:rFonts w:ascii="仿宋" w:hAnsi="仿宋" w:eastAsia="仿宋"/>
                <w:szCs w:val="21"/>
              </w:rPr>
            </w:pPr>
            <w:r>
              <w:rPr>
                <w:rFonts w:hint="eastAsia" w:ascii="仿宋" w:hAnsi="仿宋" w:eastAsia="仿宋"/>
                <w:szCs w:val="21"/>
              </w:rPr>
              <w:t>题型分类</w:t>
            </w:r>
          </w:p>
        </w:tc>
        <w:tc>
          <w:tcPr>
            <w:tcW w:w="4252" w:type="dxa"/>
            <w:shd w:val="clear" w:color="auto" w:fill="auto"/>
            <w:vAlign w:val="center"/>
          </w:tcPr>
          <w:p w14:paraId="79F62FA0">
            <w:pPr>
              <w:jc w:val="center"/>
              <w:rPr>
                <w:rFonts w:ascii="仿宋" w:hAnsi="仿宋" w:eastAsia="仿宋"/>
                <w:szCs w:val="21"/>
              </w:rPr>
            </w:pPr>
            <w:r>
              <w:rPr>
                <w:rFonts w:hint="eastAsia" w:ascii="仿宋" w:hAnsi="仿宋" w:eastAsia="仿宋"/>
                <w:szCs w:val="21"/>
              </w:rPr>
              <w:t>题型说明</w:t>
            </w:r>
          </w:p>
        </w:tc>
        <w:tc>
          <w:tcPr>
            <w:tcW w:w="993" w:type="dxa"/>
            <w:shd w:val="clear" w:color="auto" w:fill="auto"/>
            <w:vAlign w:val="center"/>
          </w:tcPr>
          <w:p w14:paraId="2EA708AF">
            <w:pPr>
              <w:jc w:val="center"/>
              <w:rPr>
                <w:rFonts w:ascii="仿宋" w:hAnsi="仿宋" w:eastAsia="仿宋"/>
                <w:szCs w:val="21"/>
              </w:rPr>
            </w:pPr>
            <w:r>
              <w:rPr>
                <w:rFonts w:hint="eastAsia" w:ascii="仿宋" w:hAnsi="仿宋" w:eastAsia="仿宋"/>
                <w:szCs w:val="21"/>
              </w:rPr>
              <w:t>题量</w:t>
            </w:r>
          </w:p>
        </w:tc>
        <w:tc>
          <w:tcPr>
            <w:tcW w:w="815" w:type="dxa"/>
            <w:shd w:val="clear" w:color="auto" w:fill="auto"/>
            <w:vAlign w:val="center"/>
          </w:tcPr>
          <w:p w14:paraId="4A9491FA">
            <w:pPr>
              <w:jc w:val="center"/>
              <w:rPr>
                <w:rFonts w:ascii="仿宋" w:hAnsi="仿宋" w:eastAsia="仿宋"/>
                <w:szCs w:val="21"/>
              </w:rPr>
            </w:pPr>
            <w:r>
              <w:rPr>
                <w:rFonts w:hint="eastAsia" w:ascii="仿宋" w:hAnsi="仿宋" w:eastAsia="仿宋"/>
                <w:szCs w:val="21"/>
              </w:rPr>
              <w:t>分值</w:t>
            </w:r>
          </w:p>
        </w:tc>
      </w:tr>
      <w:tr w14:paraId="6872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6A66B311">
            <w:pPr>
              <w:jc w:val="center"/>
              <w:rPr>
                <w:rFonts w:ascii="仿宋" w:hAnsi="仿宋" w:eastAsia="仿宋"/>
                <w:szCs w:val="21"/>
              </w:rPr>
            </w:pPr>
            <w:r>
              <w:rPr>
                <w:rFonts w:hint="eastAsia" w:ascii="仿宋" w:hAnsi="仿宋" w:eastAsia="仿宋"/>
                <w:szCs w:val="21"/>
              </w:rPr>
              <w:t>1</w:t>
            </w:r>
          </w:p>
        </w:tc>
        <w:tc>
          <w:tcPr>
            <w:tcW w:w="1559" w:type="dxa"/>
            <w:shd w:val="clear" w:color="auto" w:fill="auto"/>
            <w:vAlign w:val="center"/>
          </w:tcPr>
          <w:p w14:paraId="5606A9A5">
            <w:pPr>
              <w:jc w:val="center"/>
              <w:rPr>
                <w:rFonts w:ascii="仿宋" w:hAnsi="仿宋" w:eastAsia="仿宋"/>
                <w:szCs w:val="21"/>
              </w:rPr>
            </w:pPr>
            <w:r>
              <w:rPr>
                <w:rFonts w:hint="eastAsia" w:ascii="仿宋" w:hAnsi="仿宋" w:eastAsia="仿宋"/>
                <w:szCs w:val="21"/>
              </w:rPr>
              <w:t>词汇与语法</w:t>
            </w:r>
          </w:p>
        </w:tc>
        <w:tc>
          <w:tcPr>
            <w:tcW w:w="1418" w:type="dxa"/>
            <w:shd w:val="clear" w:color="auto" w:fill="auto"/>
            <w:vAlign w:val="center"/>
          </w:tcPr>
          <w:p w14:paraId="5C99311E">
            <w:pPr>
              <w:jc w:val="center"/>
              <w:rPr>
                <w:rFonts w:ascii="仿宋" w:hAnsi="仿宋" w:eastAsia="仿宋"/>
                <w:szCs w:val="21"/>
              </w:rPr>
            </w:pPr>
            <w:r>
              <w:rPr>
                <w:rFonts w:hint="eastAsia" w:ascii="仿宋" w:hAnsi="仿宋" w:eastAsia="仿宋"/>
                <w:szCs w:val="21"/>
              </w:rPr>
              <w:t>客观题（单项选择题）</w:t>
            </w:r>
          </w:p>
        </w:tc>
        <w:tc>
          <w:tcPr>
            <w:tcW w:w="4252" w:type="dxa"/>
            <w:shd w:val="clear" w:color="auto" w:fill="auto"/>
            <w:vAlign w:val="center"/>
          </w:tcPr>
          <w:p w14:paraId="7A857A6D">
            <w:pPr>
              <w:jc w:val="left"/>
              <w:rPr>
                <w:rFonts w:ascii="仿宋" w:hAnsi="仿宋" w:eastAsia="仿宋"/>
                <w:szCs w:val="21"/>
              </w:rPr>
            </w:pPr>
            <w:r>
              <w:rPr>
                <w:rFonts w:hint="eastAsia" w:ascii="仿宋" w:hAnsi="仿宋" w:eastAsia="仿宋"/>
                <w:szCs w:val="21"/>
              </w:rPr>
              <w:t>从题干下面的A、B、C、D中选出一个正确答案。</w:t>
            </w:r>
          </w:p>
        </w:tc>
        <w:tc>
          <w:tcPr>
            <w:tcW w:w="993" w:type="dxa"/>
            <w:shd w:val="clear" w:color="auto" w:fill="auto"/>
            <w:vAlign w:val="center"/>
          </w:tcPr>
          <w:p w14:paraId="71F407DC">
            <w:pPr>
              <w:jc w:val="center"/>
              <w:rPr>
                <w:rFonts w:ascii="仿宋" w:hAnsi="仿宋" w:eastAsia="仿宋"/>
                <w:szCs w:val="21"/>
              </w:rPr>
            </w:pPr>
            <w:r>
              <w:rPr>
                <w:rFonts w:hint="eastAsia" w:ascii="仿宋" w:hAnsi="仿宋" w:eastAsia="仿宋"/>
                <w:szCs w:val="21"/>
              </w:rPr>
              <w:t>15题</w:t>
            </w:r>
          </w:p>
        </w:tc>
        <w:tc>
          <w:tcPr>
            <w:tcW w:w="815" w:type="dxa"/>
            <w:shd w:val="clear" w:color="auto" w:fill="auto"/>
            <w:vAlign w:val="center"/>
          </w:tcPr>
          <w:p w14:paraId="54248128">
            <w:pPr>
              <w:jc w:val="center"/>
              <w:rPr>
                <w:rFonts w:ascii="仿宋" w:hAnsi="仿宋" w:eastAsia="仿宋"/>
                <w:szCs w:val="21"/>
              </w:rPr>
            </w:pPr>
            <w:r>
              <w:rPr>
                <w:rFonts w:hint="eastAsia" w:ascii="仿宋" w:hAnsi="仿宋" w:eastAsia="仿宋"/>
                <w:szCs w:val="21"/>
              </w:rPr>
              <w:t>30分</w:t>
            </w:r>
          </w:p>
        </w:tc>
      </w:tr>
      <w:tr w14:paraId="5A16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18800961">
            <w:pPr>
              <w:jc w:val="center"/>
              <w:rPr>
                <w:rFonts w:ascii="仿宋" w:hAnsi="仿宋" w:eastAsia="仿宋"/>
                <w:szCs w:val="21"/>
              </w:rPr>
            </w:pPr>
            <w:r>
              <w:rPr>
                <w:rFonts w:hint="eastAsia" w:ascii="仿宋" w:hAnsi="仿宋" w:eastAsia="仿宋"/>
                <w:szCs w:val="21"/>
              </w:rPr>
              <w:t>2</w:t>
            </w:r>
          </w:p>
        </w:tc>
        <w:tc>
          <w:tcPr>
            <w:tcW w:w="1559" w:type="dxa"/>
            <w:shd w:val="clear" w:color="auto" w:fill="auto"/>
            <w:vAlign w:val="center"/>
          </w:tcPr>
          <w:p w14:paraId="701ADA0B">
            <w:pPr>
              <w:jc w:val="center"/>
              <w:rPr>
                <w:rFonts w:ascii="仿宋" w:hAnsi="仿宋" w:eastAsia="仿宋"/>
                <w:szCs w:val="21"/>
              </w:rPr>
            </w:pPr>
            <w:r>
              <w:rPr>
                <w:rFonts w:hint="eastAsia" w:ascii="仿宋" w:hAnsi="仿宋" w:eastAsia="仿宋"/>
                <w:szCs w:val="21"/>
              </w:rPr>
              <w:t>阅读理解</w:t>
            </w:r>
          </w:p>
        </w:tc>
        <w:tc>
          <w:tcPr>
            <w:tcW w:w="1418" w:type="dxa"/>
            <w:shd w:val="clear" w:color="auto" w:fill="auto"/>
            <w:vAlign w:val="center"/>
          </w:tcPr>
          <w:p w14:paraId="527DF1CC">
            <w:pPr>
              <w:jc w:val="center"/>
              <w:rPr>
                <w:rFonts w:ascii="仿宋" w:hAnsi="仿宋" w:eastAsia="仿宋"/>
                <w:szCs w:val="21"/>
              </w:rPr>
            </w:pPr>
            <w:r>
              <w:rPr>
                <w:rFonts w:hint="eastAsia" w:ascii="仿宋" w:hAnsi="仿宋" w:eastAsia="仿宋"/>
                <w:szCs w:val="21"/>
              </w:rPr>
              <w:t>客观题（单项选择题）</w:t>
            </w:r>
          </w:p>
        </w:tc>
        <w:tc>
          <w:tcPr>
            <w:tcW w:w="4252" w:type="dxa"/>
            <w:shd w:val="clear" w:color="auto" w:fill="auto"/>
            <w:vAlign w:val="center"/>
          </w:tcPr>
          <w:p w14:paraId="728DBAED">
            <w:pPr>
              <w:jc w:val="left"/>
              <w:rPr>
                <w:rFonts w:ascii="仿宋" w:hAnsi="仿宋" w:eastAsia="仿宋"/>
                <w:szCs w:val="21"/>
              </w:rPr>
            </w:pPr>
            <w:r>
              <w:rPr>
                <w:rFonts w:hint="eastAsia" w:ascii="仿宋" w:hAnsi="仿宋" w:eastAsia="仿宋"/>
                <w:szCs w:val="21"/>
              </w:rPr>
              <w:t>阅读材料后，从题干下面的A、B、C、D中选出一个正确答案。</w:t>
            </w:r>
          </w:p>
        </w:tc>
        <w:tc>
          <w:tcPr>
            <w:tcW w:w="993" w:type="dxa"/>
            <w:shd w:val="clear" w:color="auto" w:fill="auto"/>
            <w:vAlign w:val="center"/>
          </w:tcPr>
          <w:p w14:paraId="1C53049A">
            <w:pPr>
              <w:jc w:val="center"/>
              <w:rPr>
                <w:rFonts w:ascii="仿宋" w:hAnsi="仿宋" w:eastAsia="仿宋"/>
                <w:szCs w:val="21"/>
              </w:rPr>
            </w:pPr>
            <w:r>
              <w:rPr>
                <w:rFonts w:hint="eastAsia" w:ascii="仿宋" w:hAnsi="仿宋" w:eastAsia="仿宋"/>
                <w:szCs w:val="21"/>
              </w:rPr>
              <w:t>25题</w:t>
            </w:r>
          </w:p>
        </w:tc>
        <w:tc>
          <w:tcPr>
            <w:tcW w:w="815" w:type="dxa"/>
            <w:shd w:val="clear" w:color="auto" w:fill="auto"/>
            <w:vAlign w:val="center"/>
          </w:tcPr>
          <w:p w14:paraId="0BCAF5EA">
            <w:pPr>
              <w:jc w:val="center"/>
              <w:rPr>
                <w:rFonts w:ascii="仿宋" w:hAnsi="仿宋" w:eastAsia="仿宋"/>
                <w:szCs w:val="21"/>
              </w:rPr>
            </w:pPr>
            <w:r>
              <w:rPr>
                <w:rFonts w:hint="eastAsia" w:ascii="仿宋" w:hAnsi="仿宋" w:eastAsia="仿宋"/>
                <w:szCs w:val="21"/>
              </w:rPr>
              <w:t>50分</w:t>
            </w:r>
          </w:p>
        </w:tc>
      </w:tr>
      <w:tr w14:paraId="7C57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7EE0FDCD">
            <w:pPr>
              <w:jc w:val="center"/>
              <w:rPr>
                <w:rFonts w:ascii="仿宋" w:hAnsi="仿宋" w:eastAsia="仿宋"/>
                <w:szCs w:val="21"/>
              </w:rPr>
            </w:pPr>
            <w:r>
              <w:rPr>
                <w:rFonts w:hint="eastAsia" w:ascii="仿宋" w:hAnsi="仿宋" w:eastAsia="仿宋"/>
                <w:szCs w:val="21"/>
              </w:rPr>
              <w:t>3</w:t>
            </w:r>
          </w:p>
        </w:tc>
        <w:tc>
          <w:tcPr>
            <w:tcW w:w="1559" w:type="dxa"/>
            <w:shd w:val="clear" w:color="auto" w:fill="auto"/>
            <w:vAlign w:val="center"/>
          </w:tcPr>
          <w:p w14:paraId="7DE41AF7">
            <w:pPr>
              <w:jc w:val="center"/>
              <w:rPr>
                <w:rFonts w:ascii="仿宋" w:hAnsi="仿宋" w:eastAsia="仿宋"/>
                <w:szCs w:val="21"/>
              </w:rPr>
            </w:pPr>
            <w:r>
              <w:rPr>
                <w:rFonts w:hint="eastAsia" w:ascii="仿宋" w:hAnsi="仿宋" w:eastAsia="仿宋"/>
                <w:szCs w:val="21"/>
              </w:rPr>
              <w:t>填空题</w:t>
            </w:r>
          </w:p>
        </w:tc>
        <w:tc>
          <w:tcPr>
            <w:tcW w:w="1418" w:type="dxa"/>
            <w:shd w:val="clear" w:color="auto" w:fill="auto"/>
            <w:vAlign w:val="center"/>
          </w:tcPr>
          <w:p w14:paraId="5CC25DBE">
            <w:pPr>
              <w:jc w:val="center"/>
              <w:rPr>
                <w:rFonts w:ascii="仿宋" w:hAnsi="仿宋" w:eastAsia="仿宋"/>
                <w:szCs w:val="21"/>
              </w:rPr>
            </w:pPr>
            <w:r>
              <w:rPr>
                <w:rFonts w:hint="eastAsia" w:ascii="仿宋" w:hAnsi="仿宋" w:eastAsia="仿宋"/>
                <w:szCs w:val="21"/>
              </w:rPr>
              <w:t>客观题</w:t>
            </w:r>
          </w:p>
        </w:tc>
        <w:tc>
          <w:tcPr>
            <w:tcW w:w="4252" w:type="dxa"/>
            <w:shd w:val="clear" w:color="auto" w:fill="auto"/>
            <w:vAlign w:val="center"/>
          </w:tcPr>
          <w:p w14:paraId="341DDEA0">
            <w:pPr>
              <w:jc w:val="left"/>
              <w:rPr>
                <w:rFonts w:ascii="仿宋" w:hAnsi="仿宋" w:eastAsia="仿宋"/>
                <w:szCs w:val="21"/>
              </w:rPr>
            </w:pPr>
            <w:r>
              <w:rPr>
                <w:rFonts w:hint="eastAsia" w:ascii="仿宋" w:hAnsi="仿宋" w:eastAsia="仿宋"/>
                <w:szCs w:val="21"/>
              </w:rPr>
              <w:t>阅读文章，其中（1-5）空格处的句子已被删除。从所给A-G的句子中选择最合适的一个填至（1-5）空。有两个干扰选项句。</w:t>
            </w:r>
          </w:p>
        </w:tc>
        <w:tc>
          <w:tcPr>
            <w:tcW w:w="993" w:type="dxa"/>
            <w:shd w:val="clear" w:color="auto" w:fill="auto"/>
            <w:vAlign w:val="center"/>
          </w:tcPr>
          <w:p w14:paraId="7B75F268">
            <w:pPr>
              <w:jc w:val="center"/>
              <w:rPr>
                <w:rFonts w:ascii="仿宋" w:hAnsi="仿宋" w:eastAsia="仿宋"/>
                <w:szCs w:val="21"/>
              </w:rPr>
            </w:pPr>
            <w:r>
              <w:rPr>
                <w:rFonts w:hint="eastAsia" w:ascii="仿宋" w:hAnsi="仿宋" w:eastAsia="仿宋"/>
                <w:szCs w:val="21"/>
              </w:rPr>
              <w:t>5题</w:t>
            </w:r>
          </w:p>
        </w:tc>
        <w:tc>
          <w:tcPr>
            <w:tcW w:w="815" w:type="dxa"/>
            <w:shd w:val="clear" w:color="auto" w:fill="auto"/>
            <w:vAlign w:val="center"/>
          </w:tcPr>
          <w:p w14:paraId="5C20322E">
            <w:pPr>
              <w:jc w:val="center"/>
              <w:rPr>
                <w:rFonts w:ascii="仿宋" w:hAnsi="仿宋" w:eastAsia="仿宋"/>
                <w:szCs w:val="21"/>
              </w:rPr>
            </w:pPr>
            <w:r>
              <w:rPr>
                <w:rFonts w:hint="eastAsia" w:ascii="仿宋" w:hAnsi="仿宋" w:eastAsia="仿宋"/>
                <w:szCs w:val="21"/>
              </w:rPr>
              <w:t>10分</w:t>
            </w:r>
          </w:p>
        </w:tc>
      </w:tr>
      <w:tr w14:paraId="1B90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0295920B">
            <w:pPr>
              <w:jc w:val="center"/>
              <w:rPr>
                <w:rFonts w:ascii="仿宋" w:hAnsi="仿宋" w:eastAsia="仿宋"/>
                <w:szCs w:val="21"/>
              </w:rPr>
            </w:pPr>
            <w:r>
              <w:rPr>
                <w:rFonts w:hint="eastAsia" w:ascii="仿宋" w:hAnsi="仿宋" w:eastAsia="仿宋"/>
                <w:szCs w:val="21"/>
              </w:rPr>
              <w:t>4</w:t>
            </w:r>
          </w:p>
        </w:tc>
        <w:tc>
          <w:tcPr>
            <w:tcW w:w="1559" w:type="dxa"/>
            <w:shd w:val="clear" w:color="auto" w:fill="auto"/>
            <w:vAlign w:val="center"/>
          </w:tcPr>
          <w:p w14:paraId="631824B5">
            <w:pPr>
              <w:jc w:val="center"/>
              <w:rPr>
                <w:rFonts w:ascii="仿宋" w:hAnsi="仿宋" w:eastAsia="仿宋"/>
                <w:szCs w:val="21"/>
              </w:rPr>
            </w:pPr>
            <w:r>
              <w:rPr>
                <w:rFonts w:hint="eastAsia" w:ascii="仿宋" w:hAnsi="仿宋" w:eastAsia="仿宋"/>
                <w:szCs w:val="21"/>
              </w:rPr>
              <w:t>作文题</w:t>
            </w:r>
          </w:p>
        </w:tc>
        <w:tc>
          <w:tcPr>
            <w:tcW w:w="1418" w:type="dxa"/>
            <w:shd w:val="clear" w:color="auto" w:fill="auto"/>
            <w:vAlign w:val="center"/>
          </w:tcPr>
          <w:p w14:paraId="148CEBD6">
            <w:pPr>
              <w:jc w:val="center"/>
              <w:rPr>
                <w:rFonts w:ascii="仿宋" w:hAnsi="仿宋" w:eastAsia="仿宋"/>
                <w:szCs w:val="21"/>
              </w:rPr>
            </w:pPr>
            <w:r>
              <w:rPr>
                <w:rFonts w:hint="eastAsia" w:ascii="仿宋" w:hAnsi="仿宋" w:eastAsia="仿宋"/>
                <w:szCs w:val="21"/>
              </w:rPr>
              <w:t>主观题</w:t>
            </w:r>
          </w:p>
        </w:tc>
        <w:tc>
          <w:tcPr>
            <w:tcW w:w="4252" w:type="dxa"/>
            <w:shd w:val="clear" w:color="auto" w:fill="auto"/>
            <w:vAlign w:val="center"/>
          </w:tcPr>
          <w:p w14:paraId="095085A8">
            <w:pPr>
              <w:jc w:val="left"/>
              <w:rPr>
                <w:rFonts w:ascii="仿宋" w:hAnsi="仿宋" w:eastAsia="仿宋"/>
                <w:szCs w:val="21"/>
              </w:rPr>
            </w:pPr>
            <w:r>
              <w:rPr>
                <w:rFonts w:hint="eastAsia" w:ascii="仿宋" w:hAnsi="仿宋" w:eastAsia="仿宋"/>
                <w:szCs w:val="21"/>
              </w:rPr>
              <w:t>电子邮件、备忘录、请假条等应用文写作。</w:t>
            </w:r>
          </w:p>
        </w:tc>
        <w:tc>
          <w:tcPr>
            <w:tcW w:w="993" w:type="dxa"/>
            <w:shd w:val="clear" w:color="auto" w:fill="auto"/>
            <w:vAlign w:val="center"/>
          </w:tcPr>
          <w:p w14:paraId="75DA7E9C">
            <w:pPr>
              <w:jc w:val="center"/>
              <w:rPr>
                <w:rFonts w:ascii="仿宋" w:hAnsi="仿宋" w:eastAsia="仿宋"/>
                <w:szCs w:val="21"/>
              </w:rPr>
            </w:pPr>
            <w:r>
              <w:rPr>
                <w:rFonts w:hint="eastAsia" w:ascii="仿宋" w:hAnsi="仿宋" w:eastAsia="仿宋"/>
                <w:szCs w:val="21"/>
              </w:rPr>
              <w:t>1题</w:t>
            </w:r>
          </w:p>
        </w:tc>
        <w:tc>
          <w:tcPr>
            <w:tcW w:w="815" w:type="dxa"/>
            <w:shd w:val="clear" w:color="auto" w:fill="auto"/>
            <w:vAlign w:val="center"/>
          </w:tcPr>
          <w:p w14:paraId="400FD591">
            <w:pPr>
              <w:jc w:val="center"/>
              <w:rPr>
                <w:rFonts w:ascii="仿宋" w:hAnsi="仿宋" w:eastAsia="仿宋"/>
                <w:szCs w:val="21"/>
              </w:rPr>
            </w:pPr>
            <w:r>
              <w:rPr>
                <w:rFonts w:hint="eastAsia" w:ascii="仿宋" w:hAnsi="仿宋" w:eastAsia="仿宋"/>
                <w:szCs w:val="21"/>
              </w:rPr>
              <w:t>10分</w:t>
            </w:r>
          </w:p>
        </w:tc>
      </w:tr>
    </w:tbl>
    <w:p w14:paraId="694B5FF7">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五、参考教材</w:t>
      </w:r>
    </w:p>
    <w:p w14:paraId="56B21978">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《中日交流标准日本语第二版（初级上、下）</w:t>
      </w:r>
      <w:r>
        <w:rPr>
          <w:rFonts w:cs="宋体" w:asciiTheme="minorEastAsia" w:hAnsiTheme="minorEastAsia"/>
          <w:kern w:val="0"/>
          <w:sz w:val="24"/>
        </w:rPr>
        <w:t>》，</w:t>
      </w:r>
      <w:r>
        <w:rPr>
          <w:rFonts w:hint="eastAsia" w:cs="宋体" w:asciiTheme="minorEastAsia" w:hAnsiTheme="minorEastAsia"/>
          <w:kern w:val="0"/>
          <w:sz w:val="24"/>
        </w:rPr>
        <w:t>人民教育</w:t>
      </w:r>
      <w:r>
        <w:rPr>
          <w:rFonts w:cs="宋体" w:asciiTheme="minorEastAsia" w:hAnsiTheme="minorEastAsia"/>
          <w:kern w:val="0"/>
          <w:sz w:val="24"/>
        </w:rPr>
        <w:t>出版社编</w:t>
      </w:r>
    </w:p>
    <w:p w14:paraId="74231138">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六、考试形式</w:t>
      </w:r>
    </w:p>
    <w:p w14:paraId="47DBCAC5">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本测验采用闭卷笔试的形式，测验时间共120分钟，总分值100分。</w:t>
      </w:r>
    </w:p>
    <w:p w14:paraId="17EDF49A">
      <w:pPr>
        <w:widowControl/>
        <w:jc w:val="left"/>
        <w:rPr>
          <w:rFonts w:cs="宋体" w:asciiTheme="minorEastAsia" w:hAnsiTheme="minorEastAsia"/>
          <w:kern w:val="0"/>
          <w:sz w:val="24"/>
        </w:rPr>
      </w:pPr>
    </w:p>
    <w:p w14:paraId="7A6C85B7">
      <w:pPr>
        <w:widowControl/>
        <w:jc w:val="left"/>
        <w:rPr>
          <w:rFonts w:ascii="仿宋" w:hAnsi="仿宋" w:eastAsia="仿宋" w:cs="仿宋"/>
          <w:b/>
          <w:color w:val="000000"/>
          <w:kern w:val="0"/>
          <w:sz w:val="30"/>
          <w:szCs w:val="30"/>
        </w:rPr>
      </w:pPr>
    </w:p>
    <w:p w14:paraId="08DF7772"/>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5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asciiTheme="minorHAnsi" w:hAnsiTheme="minorHAnsi" w:eastAsiaTheme="minorEastAsia"/>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2025-09-17T07:12:59Z</dcterms:created>
  <dc:creator>Administrator</dc:creator>
  <cp:lastModifiedBy>让时间来沉淀</cp:lastModifiedBy>
  <dcterms:modified xsi:type="dcterms:W3CDTF">2025-09-17T07:13:24Z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eyJoZGlkIjoiOWRjYWM4ZDY3NjQ1NzZmN2Q3ZDhjZGRkZmI3ZDJkYWMiLCJ1c2VySWQiOiIxMTM5Njc3MjQzIn0=</vt:lpwstr>
  </property>
  <property fmtid="{D5CDD505-2E9C-101B-9397-08002B2CF9AE}" pid="4" name="ICV">
    <vt:lpwstr>A36BED50B58D4441837E284D4B6776FB_12</vt:lpwstr>
  </property>
</Properties>
</file>